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r>
        <w:drawing>
          <wp:anchor distT="0" distB="0" distL="114300" distR="114300" simplePos="0" relativeHeight="251655168" behindDoc="1" locked="0" layoutInCell="1" allowOverlap="1">
            <wp:simplePos x="0" y="0"/>
            <wp:positionH relativeFrom="column">
              <wp:posOffset>-1190625</wp:posOffset>
            </wp:positionH>
            <wp:positionV relativeFrom="paragraph">
              <wp:posOffset>-981075</wp:posOffset>
            </wp:positionV>
            <wp:extent cx="7630160" cy="10797540"/>
            <wp:effectExtent l="19050" t="0" r="8890" b="0"/>
            <wp:wrapNone/>
            <wp:docPr id="15" name="Picture 2" descr="新vi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新vi封面"/>
                    <pic:cNvPicPr>
                      <a:picLocks noChangeAspect="1" noChangeArrowheads="1"/>
                    </pic:cNvPicPr>
                  </pic:nvPicPr>
                  <pic:blipFill>
                    <a:blip r:embed="rId7" cstate="print"/>
                    <a:srcRect/>
                    <a:stretch>
                      <a:fillRect/>
                    </a:stretch>
                  </pic:blipFill>
                  <pic:spPr>
                    <a:xfrm>
                      <a:off x="0" y="0"/>
                      <a:ext cx="7630160" cy="10797540"/>
                    </a:xfrm>
                    <a:prstGeom prst="rect">
                      <a:avLst/>
                    </a:prstGeom>
                    <a:noFill/>
                    <a:ln w="9525">
                      <a:noFill/>
                      <a:miter lim="800000"/>
                      <a:headEnd/>
                      <a:tailEnd/>
                    </a:ln>
                  </pic:spPr>
                </pic:pic>
              </a:graphicData>
            </a:graphic>
          </wp:anchor>
        </w:drawing>
      </w:r>
      <w:r>
        <w:drawing>
          <wp:anchor distT="0" distB="0" distL="114300" distR="114300" simplePos="0" relativeHeight="251657216" behindDoc="0" locked="0" layoutInCell="1" allowOverlap="1">
            <wp:simplePos x="0" y="0"/>
            <wp:positionH relativeFrom="column">
              <wp:posOffset>3983355</wp:posOffset>
            </wp:positionH>
            <wp:positionV relativeFrom="paragraph">
              <wp:posOffset>-640080</wp:posOffset>
            </wp:positionV>
            <wp:extent cx="2074545" cy="739140"/>
            <wp:effectExtent l="0" t="0" r="0" b="0"/>
            <wp:wrapNone/>
            <wp:docPr id="14" name="Picture 3" descr="广期新vi短称(越秀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广期新vi短称(越秀新版)"/>
                    <pic:cNvPicPr>
                      <a:picLocks noChangeAspect="1" noChangeArrowheads="1"/>
                    </pic:cNvPicPr>
                  </pic:nvPicPr>
                  <pic:blipFill>
                    <a:blip r:embed="rId8" cstate="print"/>
                    <a:srcRect/>
                    <a:stretch>
                      <a:fillRect/>
                    </a:stretch>
                  </pic:blipFill>
                  <pic:spPr>
                    <a:xfrm>
                      <a:off x="0" y="0"/>
                      <a:ext cx="2074545" cy="739140"/>
                    </a:xfrm>
                    <a:prstGeom prst="rect">
                      <a:avLst/>
                    </a:prstGeom>
                    <a:noFill/>
                    <a:ln w="9525">
                      <a:noFill/>
                      <a:miter lim="800000"/>
                      <a:headEnd/>
                      <a:tailEnd/>
                    </a:ln>
                  </pic:spPr>
                </pic:pic>
              </a:graphicData>
            </a:graphic>
          </wp:anchor>
        </w:drawing>
      </w:r>
    </w:p>
    <w:p>
      <w:pPr>
        <w:pStyle w:val="23"/>
        <w:spacing w:line="360" w:lineRule="auto"/>
        <w:rPr>
          <w:rFonts w:ascii="新宋体" w:hAnsi="新宋体" w:eastAsia="新宋体"/>
          <w:color w:val="FFFFFF"/>
          <w:kern w:val="2"/>
          <w:sz w:val="36"/>
          <w:szCs w:val="36"/>
        </w:rPr>
      </w:pPr>
    </w:p>
    <w:p>
      <w:pPr>
        <w:pStyle w:val="23"/>
        <w:tabs>
          <w:tab w:val="left" w:pos="5145"/>
        </w:tabs>
        <w:spacing w:line="360" w:lineRule="auto"/>
        <w:jc w:val="left"/>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r>
        <w:rPr>
          <w:color w:val="FFFFFF"/>
        </w:rPr>
        <mc:AlternateContent>
          <mc:Choice Requires="wps">
            <w:drawing>
              <wp:anchor distT="0" distB="0" distL="114300" distR="114300" simplePos="0" relativeHeight="251656192" behindDoc="0" locked="0" layoutInCell="1" allowOverlap="1">
                <wp:simplePos x="0" y="0"/>
                <wp:positionH relativeFrom="column">
                  <wp:posOffset>-876300</wp:posOffset>
                </wp:positionH>
                <wp:positionV relativeFrom="paragraph">
                  <wp:posOffset>0</wp:posOffset>
                </wp:positionV>
                <wp:extent cx="7086600" cy="1386840"/>
                <wp:effectExtent l="0" t="0" r="0" b="0"/>
                <wp:wrapNone/>
                <wp:docPr id="3" name="Text Box 4"/>
                <wp:cNvGraphicFramePr/>
                <a:graphic xmlns:a="http://schemas.openxmlformats.org/drawingml/2006/main">
                  <a:graphicData uri="http://schemas.microsoft.com/office/word/2010/wordprocessingShape">
                    <wps:wsp>
                      <wps:cNvSpPr txBox="1"/>
                      <wps:spPr>
                        <a:xfrm>
                          <a:off x="0" y="0"/>
                          <a:ext cx="7086600" cy="1386840"/>
                        </a:xfrm>
                        <a:prstGeom prst="rect">
                          <a:avLst/>
                        </a:prstGeom>
                        <a:noFill/>
                        <a:ln w="9525">
                          <a:noFill/>
                        </a:ln>
                        <a:effectLst/>
                      </wps:spPr>
                      <wps:txbx>
                        <w:txbxContent>
                          <w:p>
                            <w:pPr>
                              <w:jc w:val="center"/>
                              <w:rPr>
                                <w:rFonts w:hint="eastAsia" w:ascii="黑体" w:hAnsi="微软雅黑" w:eastAsia="黑体"/>
                                <w:b/>
                                <w:color w:val="422100"/>
                                <w:sz w:val="36"/>
                                <w:szCs w:val="36"/>
                                <w:lang w:val="en-US" w:eastAsia="zh-CN"/>
                              </w:rPr>
                            </w:pPr>
                            <w:r>
                              <w:rPr>
                                <w:rFonts w:hint="eastAsia" w:ascii="黑体" w:hAnsi="微软雅黑" w:eastAsia="黑体"/>
                                <w:b/>
                                <w:bCs/>
                                <w:color w:val="422100"/>
                                <w:sz w:val="60"/>
                                <w:szCs w:val="60"/>
                                <w:lang w:val="en-US" w:eastAsia="zh-CN"/>
                              </w:rPr>
                              <w:t>铜期权合约规则详解</w:t>
                            </w:r>
                          </w:p>
                        </w:txbxContent>
                      </wps:txbx>
                      <wps:bodyPr upright="1"/>
                    </wps:wsp>
                  </a:graphicData>
                </a:graphic>
              </wp:anchor>
            </w:drawing>
          </mc:Choice>
          <mc:Fallback>
            <w:pict>
              <v:shape id="Text Box 4" o:spid="_x0000_s1026" o:spt="202" type="#_x0000_t202" style="position:absolute;left:0pt;margin-left:-69pt;margin-top:0pt;height:109.2pt;width:558pt;z-index:251656192;mso-width-relative:page;mso-height-relative:page;" filled="f" stroked="f" coordsize="21600,21600" o:gfxdata="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S41eS9cAAAAJAQAADwAAAAAAAAABACAAAAAiAAAAZHJzL2Rvd25y&#10;ZXYueG1sUEsBAhQAFAAAAAgAh07iQBeivuuNAQAAFwMAAA4AAAAAAAAAAQAgAAAAJgEAAGRycy9l&#10;Mm9Eb2MueG1sUEsFBgAAAAAGAAYAWQEAACUFAAAAAA==&#10;">
                <v:fill on="f" focussize="0,0"/>
                <v:stroke on="f"/>
                <v:imagedata o:title=""/>
                <o:lock v:ext="edit" aspectratio="f"/>
                <v:textbox>
                  <w:txbxContent>
                    <w:p>
                      <w:pPr>
                        <w:jc w:val="center"/>
                        <w:rPr>
                          <w:rFonts w:hint="eastAsia" w:ascii="黑体" w:hAnsi="微软雅黑" w:eastAsia="黑体"/>
                          <w:b/>
                          <w:color w:val="422100"/>
                          <w:sz w:val="36"/>
                          <w:szCs w:val="36"/>
                          <w:lang w:val="en-US" w:eastAsia="zh-CN"/>
                        </w:rPr>
                      </w:pPr>
                      <w:r>
                        <w:rPr>
                          <w:rFonts w:hint="eastAsia" w:ascii="黑体" w:hAnsi="微软雅黑" w:eastAsia="黑体"/>
                          <w:b/>
                          <w:bCs/>
                          <w:color w:val="422100"/>
                          <w:sz w:val="60"/>
                          <w:szCs w:val="60"/>
                          <w:lang w:val="en-US" w:eastAsia="zh-CN"/>
                        </w:rPr>
                        <w:t>铜期权合约规则详解</w:t>
                      </w:r>
                    </w:p>
                  </w:txbxContent>
                </v:textbox>
              </v:shape>
            </w:pict>
          </mc:Fallback>
        </mc:AlternateContent>
      </w: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微软雅黑" w:hAnsi="微软雅黑" w:eastAsia="微软雅黑"/>
          <w:color w:val="FFFFFF"/>
          <w:kern w:val="2"/>
          <w:sz w:val="36"/>
          <w:szCs w:val="36"/>
        </w:rPr>
      </w:pPr>
    </w:p>
    <w:p>
      <w:pPr>
        <w:pStyle w:val="23"/>
        <w:spacing w:line="360" w:lineRule="auto"/>
        <w:rPr>
          <w:rFonts w:ascii="新宋体" w:hAnsi="新宋体" w:eastAsia="新宋体"/>
          <w:color w:val="FFFFFF"/>
          <w:kern w:val="2"/>
          <w:sz w:val="36"/>
          <w:szCs w:val="36"/>
        </w:rPr>
      </w:pPr>
      <w:r>
        <w:rPr>
          <w:rFonts w:ascii="新宋体" w:hAnsi="新宋体" w:eastAsia="新宋体"/>
          <w:color w:val="FFFFFF"/>
          <w:kern w:val="2"/>
          <w:sz w:val="36"/>
          <w:szCs w:val="36"/>
        </w:rPr>
        <mc:AlternateContent>
          <mc:Choice Requires="wps">
            <w:drawing>
              <wp:anchor distT="0" distB="0" distL="114300" distR="114300" simplePos="0" relativeHeight="251660288" behindDoc="0" locked="0" layoutInCell="1" allowOverlap="1">
                <wp:simplePos x="0" y="0"/>
                <wp:positionH relativeFrom="column">
                  <wp:posOffset>-824865</wp:posOffset>
                </wp:positionH>
                <wp:positionV relativeFrom="paragraph">
                  <wp:posOffset>100965</wp:posOffset>
                </wp:positionV>
                <wp:extent cx="6826885" cy="2771775"/>
                <wp:effectExtent l="0" t="0" r="0" b="0"/>
                <wp:wrapNone/>
                <wp:docPr id="21" name="Text Box 8"/>
                <wp:cNvGraphicFramePr/>
                <a:graphic xmlns:a="http://schemas.openxmlformats.org/drawingml/2006/main">
                  <a:graphicData uri="http://schemas.microsoft.com/office/word/2010/wordprocessingShape">
                    <wps:wsp>
                      <wps:cNvSpPr txBox="1">
                        <a:spLocks noChangeArrowheads="1"/>
                      </wps:cNvSpPr>
                      <wps:spPr bwMode="auto">
                        <a:xfrm>
                          <a:off x="0" y="0"/>
                          <a:ext cx="6826885" cy="1089660"/>
                        </a:xfrm>
                        <a:prstGeom prst="rect">
                          <a:avLst/>
                        </a:prstGeom>
                        <a:noFill/>
                        <a:ln>
                          <a:noFill/>
                        </a:ln>
                        <a:effectLst/>
                      </wps:spPr>
                      <wps:txbx>
                        <w:txbxContent>
                          <w:p>
                            <w:pPr>
                              <w:autoSpaceDE w:val="0"/>
                              <w:autoSpaceDN w:val="0"/>
                              <w:adjustRightInd w:val="0"/>
                              <w:jc w:val="center"/>
                              <w:rPr>
                                <w:rFonts w:ascii="黑体" w:eastAsia="黑体"/>
                                <w:b/>
                                <w:kern w:val="0"/>
                                <w:sz w:val="28"/>
                                <w:szCs w:val="28"/>
                              </w:rPr>
                            </w:pPr>
                            <w:r>
                              <w:rPr>
                                <w:rFonts w:hint="eastAsia" w:ascii="黑体" w:eastAsia="黑体"/>
                                <w:b/>
                                <w:kern w:val="0"/>
                                <w:sz w:val="28"/>
                                <w:szCs w:val="28"/>
                              </w:rPr>
                              <w:t>广州期货研究所 金融衍生品组</w:t>
                            </w:r>
                          </w:p>
                          <w:p>
                            <w:pPr>
                              <w:jc w:val="center"/>
                              <w:rPr>
                                <w:szCs w:val="84"/>
                              </w:rPr>
                            </w:pPr>
                            <w:r>
                              <w:rPr>
                                <w:rFonts w:hint="eastAsia" w:ascii="黑体" w:eastAsia="黑体"/>
                                <w:b/>
                                <w:kern w:val="0"/>
                                <w:sz w:val="28"/>
                                <w:szCs w:val="28"/>
                              </w:rPr>
                              <w:t>唐粤川 F3041438</w:t>
                            </w:r>
                          </w:p>
                        </w:txbxContent>
                      </wps:txbx>
                      <wps:bodyPr rot="0" vert="horz" wrap="square" lIns="91440" tIns="45720" rIns="91440" bIns="45720" anchor="t" anchorCtr="0" upright="1">
                        <a:noAutofit/>
                      </wps:bodyPr>
                    </wps:wsp>
                  </a:graphicData>
                </a:graphic>
              </wp:anchor>
            </w:drawing>
          </mc:Choice>
          <mc:Fallback>
            <w:pict>
              <v:shape id="Text Box 8" o:spid="_x0000_s1026" o:spt="202" type="#_x0000_t202" style="position:absolute;left:0pt;margin-left:-64.95pt;margin-top:7.95pt;height:218.25pt;width:537.55pt;z-index:251660288;mso-width-relative:page;mso-height-relative:page;" filled="f" stroked="f" coordsize="21600,21600" o:gfxdata="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iiScdcAAAALAQAADwAAAAAAAAABACAAAAAiAAAAZHJzL2Rvd25yZXYueG1sUEsBAhQA&#10;FAAAAAgAh07iQNU2JBnzAQAA1gMAAA4AAAAAAAAAAQAgAAAAJgEAAGRycy9lMm9Eb2MueG1sUEsF&#10;BgAAAAAGAAYAWQEAAIsFAAAAAA==&#10;">
                <v:fill on="f" focussize="0,0"/>
                <v:stroke on="f"/>
                <v:imagedata o:title=""/>
                <o:lock v:ext="edit" aspectratio="f"/>
                <v:textbox>
                  <w:txbxContent>
                    <w:p>
                      <w:pPr>
                        <w:autoSpaceDE w:val="0"/>
                        <w:autoSpaceDN w:val="0"/>
                        <w:adjustRightInd w:val="0"/>
                        <w:jc w:val="center"/>
                        <w:rPr>
                          <w:rFonts w:ascii="黑体" w:eastAsia="黑体"/>
                          <w:b/>
                          <w:kern w:val="0"/>
                          <w:sz w:val="28"/>
                          <w:szCs w:val="28"/>
                        </w:rPr>
                      </w:pPr>
                      <w:r>
                        <w:rPr>
                          <w:rFonts w:hint="eastAsia" w:ascii="黑体" w:eastAsia="黑体"/>
                          <w:b/>
                          <w:kern w:val="0"/>
                          <w:sz w:val="28"/>
                          <w:szCs w:val="28"/>
                        </w:rPr>
                        <w:t>广州期货研究所 金融衍生品组</w:t>
                      </w:r>
                    </w:p>
                    <w:p>
                      <w:pPr>
                        <w:jc w:val="center"/>
                        <w:rPr>
                          <w:szCs w:val="84"/>
                        </w:rPr>
                      </w:pPr>
                      <w:r>
                        <w:rPr>
                          <w:rFonts w:hint="eastAsia" w:ascii="黑体" w:eastAsia="黑体"/>
                          <w:b/>
                          <w:kern w:val="0"/>
                          <w:sz w:val="28"/>
                          <w:szCs w:val="28"/>
                        </w:rPr>
                        <w:t>唐粤川 F3041438</w:t>
                      </w:r>
                    </w:p>
                  </w:txbxContent>
                </v:textbox>
              </v:shape>
            </w:pict>
          </mc:Fallback>
        </mc:AlternateContent>
      </w: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r>
        <w:rPr>
          <w:rFonts w:ascii="新宋体" w:hAnsi="新宋体" w:eastAsia="新宋体"/>
          <w:color w:val="FFFFFF"/>
          <w:kern w:val="2"/>
          <w:sz w:val="36"/>
          <w:szCs w:val="36"/>
        </w:rPr>
        <mc:AlternateContent>
          <mc:Choice Requires="wps">
            <w:drawing>
              <wp:anchor distT="0" distB="0" distL="114300" distR="114300" simplePos="0" relativeHeight="251658240" behindDoc="0" locked="0" layoutInCell="1" allowOverlap="1">
                <wp:simplePos x="0" y="0"/>
                <wp:positionH relativeFrom="column">
                  <wp:posOffset>2038350</wp:posOffset>
                </wp:positionH>
                <wp:positionV relativeFrom="paragraph">
                  <wp:posOffset>66675</wp:posOffset>
                </wp:positionV>
                <wp:extent cx="2857500" cy="495300"/>
                <wp:effectExtent l="0" t="0" r="0" b="0"/>
                <wp:wrapNone/>
                <wp:docPr id="4" name="Text Box 6"/>
                <wp:cNvGraphicFramePr/>
                <a:graphic xmlns:a="http://schemas.openxmlformats.org/drawingml/2006/main">
                  <a:graphicData uri="http://schemas.microsoft.com/office/word/2010/wordprocessingShape">
                    <wps:wsp>
                      <wps:cNvSpPr txBox="1"/>
                      <wps:spPr>
                        <a:xfrm>
                          <a:off x="0" y="0"/>
                          <a:ext cx="2857500" cy="495300"/>
                        </a:xfrm>
                        <a:prstGeom prst="rect">
                          <a:avLst/>
                        </a:prstGeom>
                        <a:noFill/>
                        <a:ln w="9525">
                          <a:noFill/>
                        </a:ln>
                        <a:effectLst/>
                      </wps:spPr>
                      <wps:txbx>
                        <w:txbxContent>
                          <w:p>
                            <w:pPr>
                              <w:rPr>
                                <w:rFonts w:ascii="Arial" w:hAnsi="Arial" w:cs="Arial"/>
                                <w:color w:val="FFFFFF"/>
                                <w:sz w:val="20"/>
                                <w:lang w:val="de-DE"/>
                              </w:rPr>
                            </w:pPr>
                            <w:r>
                              <w:rPr>
                                <w:rFonts w:ascii="Arial" w:hAnsi="Arial" w:cs="Arial"/>
                                <w:color w:val="FFFFFF"/>
                                <w:sz w:val="20"/>
                                <w:lang w:val="de-DE"/>
                              </w:rPr>
                              <w:t>(8620)22139800 │ www.gzf2010.com.cn</w:t>
                            </w:r>
                          </w:p>
                        </w:txbxContent>
                      </wps:txbx>
                      <wps:bodyPr upright="1"/>
                    </wps:wsp>
                  </a:graphicData>
                </a:graphic>
              </wp:anchor>
            </w:drawing>
          </mc:Choice>
          <mc:Fallback>
            <w:pict>
              <v:shape id="Text Box 6" o:spid="_x0000_s1026" o:spt="202" type="#_x0000_t202" style="position:absolute;left:0pt;margin-left:160.5pt;margin-top:5.25pt;height:39pt;width:225pt;z-index:251658240;mso-width-relative:page;mso-height-relative:page;" filled="f" stroked="f" coordsize="21600,21600" o:gfxdata="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u+Frp9YAAAAJAQAADwAAAAAAAAABACAAAAAiAAAAZHJzL2Rvd25yZXYu&#10;eG1sUEsBAhQAFAAAAAgAh07iQFAvgMuLAQAAFgMAAA4AAAAAAAAAAQAgAAAAJQEAAGRycy9lMm9E&#10;b2MueG1sUEsFBgAAAAAGAAYAWQEAACIFAAAAAA==&#10;">
                <v:fill on="f" focussize="0,0"/>
                <v:stroke on="f"/>
                <v:imagedata o:title=""/>
                <o:lock v:ext="edit" aspectratio="f"/>
                <v:textbox>
                  <w:txbxContent>
                    <w:p>
                      <w:pPr>
                        <w:rPr>
                          <w:rFonts w:ascii="Arial" w:hAnsi="Arial" w:cs="Arial"/>
                          <w:color w:val="FFFFFF"/>
                          <w:sz w:val="20"/>
                          <w:lang w:val="de-DE"/>
                        </w:rPr>
                      </w:pPr>
                      <w:r>
                        <w:rPr>
                          <w:rFonts w:ascii="Arial" w:hAnsi="Arial" w:cs="Arial"/>
                          <w:color w:val="FFFFFF"/>
                          <w:sz w:val="20"/>
                          <w:lang w:val="de-DE"/>
                        </w:rPr>
                        <w:t>(8620)22139800 │ www.gzf2010.com.cn</w:t>
                      </w:r>
                    </w:p>
                  </w:txbxContent>
                </v:textbox>
              </v:shape>
            </w:pict>
          </mc:Fallback>
        </mc:AlternateContent>
      </w:r>
      <w:r>
        <w:drawing>
          <wp:anchor distT="0" distB="0" distL="114300" distR="114300" simplePos="0" relativeHeight="251659264" behindDoc="0" locked="0" layoutInCell="1" allowOverlap="1">
            <wp:simplePos x="0" y="0"/>
            <wp:positionH relativeFrom="column">
              <wp:posOffset>1771650</wp:posOffset>
            </wp:positionH>
            <wp:positionV relativeFrom="paragraph">
              <wp:posOffset>158115</wp:posOffset>
            </wp:positionV>
            <wp:extent cx="323850" cy="129540"/>
            <wp:effectExtent l="0" t="0" r="0" b="0"/>
            <wp:wrapNone/>
            <wp:docPr id="13" name="Picture 7" descr="dian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descr="dianhua"/>
                    <pic:cNvPicPr>
                      <a:picLocks noChangeAspect="1" noChangeArrowheads="1"/>
                    </pic:cNvPicPr>
                  </pic:nvPicPr>
                  <pic:blipFill>
                    <a:blip r:embed="rId9" cstate="print"/>
                    <a:srcRect/>
                    <a:stretch>
                      <a:fillRect/>
                    </a:stretch>
                  </pic:blipFill>
                  <pic:spPr>
                    <a:xfrm>
                      <a:off x="0" y="0"/>
                      <a:ext cx="323850" cy="129540"/>
                    </a:xfrm>
                    <a:prstGeom prst="rect">
                      <a:avLst/>
                    </a:prstGeom>
                    <a:noFill/>
                    <a:ln w="9525">
                      <a:noFill/>
                      <a:miter lim="800000"/>
                      <a:headEnd/>
                      <a:tailEnd/>
                    </a:ln>
                  </pic:spPr>
                </pic:pic>
              </a:graphicData>
            </a:graphic>
          </wp:anchor>
        </w:drawing>
      </w:r>
    </w:p>
    <w:p>
      <w:pPr>
        <w:rPr>
          <w:rFonts w:ascii="新宋体" w:hAnsi="新宋体" w:eastAsia="新宋体"/>
          <w:color w:val="FFFFFF"/>
          <w:sz w:val="36"/>
          <w:szCs w:val="36"/>
        </w:rPr>
      </w:pPr>
    </w:p>
    <w:p>
      <w:pPr>
        <w:rPr>
          <w:rFonts w:ascii="宋体" w:hAnsi="宋体"/>
          <w:b/>
          <w:bCs/>
          <w:sz w:val="24"/>
        </w:rPr>
      </w:pPr>
    </w:p>
    <w:p>
      <w:pPr>
        <w:ind w:left="3"/>
        <w:jc w:val="center"/>
      </w:pPr>
      <w:r>
        <w:rPr>
          <w:rFonts w:hint="eastAsia" w:ascii="宋体" w:hAnsi="宋体"/>
          <w:b/>
          <w:bCs/>
          <w:sz w:val="28"/>
          <w:szCs w:val="21"/>
          <w:lang w:val="en-US" w:eastAsia="zh-CN"/>
        </w:rPr>
        <w:t>铜期权合约规则详解</w:t>
      </w:r>
    </w:p>
    <w:p>
      <w:pPr>
        <w:spacing w:line="360" w:lineRule="auto"/>
        <w:ind w:firstLine="420"/>
        <w:rPr>
          <w:rFonts w:hint="eastAsia" w:ascii="宋体" w:hAnsi="宋体" w:cs="宋体"/>
          <w:lang w:val="en-US" w:eastAsia="zh-CN"/>
        </w:rPr>
      </w:pPr>
      <w:r>
        <w:rPr>
          <w:rFonts w:hint="eastAsia" w:ascii="宋体" w:hAnsi="宋体" w:cs="宋体"/>
          <w:lang w:val="en-US" w:eastAsia="zh-CN"/>
        </w:rPr>
        <w:t>我国首个工业品期权——铜期货期权将于9月21日开始正式上市，成为继豆粕期权、白糖期权后的第三位商品期权成员。本文将详细解读新出的铜期权合约细则，让投资者对新品种的交易做好准备。</w:t>
      </w:r>
    </w:p>
    <w:p>
      <w:pPr>
        <w:spacing w:line="360" w:lineRule="auto"/>
        <w:ind w:firstLine="420"/>
        <w:rPr>
          <w:rFonts w:hint="eastAsia" w:ascii="宋体" w:hAnsi="宋体" w:cs="宋体"/>
          <w:lang w:val="en-US" w:eastAsia="zh-CN"/>
        </w:rPr>
      </w:pPr>
    </w:p>
    <w:tbl>
      <w:tblPr>
        <w:tblStyle w:val="17"/>
        <w:tblW w:w="8466" w:type="dxa"/>
        <w:jc w:val="center"/>
        <w:tblInd w:w="0" w:type="dxa"/>
        <w:tblLayout w:type="fixed"/>
        <w:tblCellMar>
          <w:top w:w="0" w:type="dxa"/>
          <w:left w:w="108" w:type="dxa"/>
          <w:bottom w:w="0" w:type="dxa"/>
          <w:right w:w="108" w:type="dxa"/>
        </w:tblCellMar>
      </w:tblPr>
      <w:tblGrid>
        <w:gridCol w:w="2088"/>
        <w:gridCol w:w="6378"/>
      </w:tblGrid>
      <w:tr>
        <w:tblPrEx>
          <w:tblLayout w:type="fixed"/>
          <w:tblCellMar>
            <w:top w:w="0" w:type="dxa"/>
            <w:left w:w="108" w:type="dxa"/>
            <w:bottom w:w="0" w:type="dxa"/>
            <w:right w:w="108" w:type="dxa"/>
          </w:tblCellMar>
        </w:tblPrEx>
        <w:trPr>
          <w:cantSplit/>
          <w:trHeight w:val="284" w:hRule="atLeast"/>
          <w:jc w:val="center"/>
        </w:trPr>
        <w:tc>
          <w:tcPr>
            <w:tcW w:w="8466" w:type="dxa"/>
            <w:gridSpan w:val="2"/>
            <w:tcBorders>
              <w:top w:val="single" w:color="000000" w:sz="12" w:space="0"/>
              <w:left w:val="single" w:color="000000" w:sz="12" w:space="0"/>
              <w:bottom w:val="single" w:color="000000" w:sz="8" w:space="0"/>
              <w:right w:val="single" w:color="000000" w:sz="12" w:space="0"/>
            </w:tcBorders>
            <w:shd w:val="clear" w:color="auto" w:fill="F79646" w:themeFill="accent6"/>
            <w:tcMar>
              <w:top w:w="80" w:type="dxa"/>
              <w:left w:w="80" w:type="dxa"/>
              <w:bottom w:w="80" w:type="dxa"/>
              <w:right w:w="80" w:type="dxa"/>
            </w:tcMar>
            <w:vAlign w:val="center"/>
          </w:tcPr>
          <w:p>
            <w:pPr>
              <w:shd w:val="clear" w:fill="F79646" w:themeFill="accent6"/>
              <w:jc w:val="center"/>
              <w:rPr>
                <w:rFonts w:hint="eastAsia" w:ascii="黑体" w:hAnsi="黑体" w:eastAsia="黑体" w:cs="黑体"/>
                <w:sz w:val="21"/>
                <w:szCs w:val="21"/>
                <w:lang w:val="en-US" w:eastAsia="zh-CN"/>
              </w:rPr>
            </w:pPr>
            <w:r>
              <w:rPr>
                <w:rFonts w:hint="eastAsia" w:ascii="黑体" w:hAnsi="黑体" w:eastAsia="黑体" w:cs="黑体"/>
                <w:b/>
                <w:bCs/>
                <w:sz w:val="21"/>
                <w:szCs w:val="21"/>
                <w:lang w:val="en-US" w:eastAsia="zh-CN"/>
              </w:rPr>
              <w:t>上海期货交易所阴极铜期货期权合约</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12" w:space="0"/>
              <w:left w:val="single" w:color="000000" w:sz="12" w:space="0"/>
              <w:bottom w:val="single" w:color="000000" w:sz="8" w:space="0"/>
              <w:right w:val="single" w:color="000000" w:sz="8" w:space="0"/>
            </w:tcBorders>
            <w:shd w:val="clear" w:color="auto" w:fill="FBD4B4" w:themeFill="accent6" w:themeFillTint="66"/>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合约标的物</w:t>
            </w:r>
          </w:p>
        </w:tc>
        <w:tc>
          <w:tcPr>
            <w:tcW w:w="6378" w:type="dxa"/>
            <w:tcBorders>
              <w:top w:val="single" w:color="000000" w:sz="12" w:space="0"/>
              <w:left w:val="single" w:color="000000" w:sz="8" w:space="0"/>
              <w:bottom w:val="single" w:color="000000" w:sz="8" w:space="0"/>
              <w:right w:val="single" w:color="000000" w:sz="12" w:space="0"/>
            </w:tcBorders>
            <w:shd w:val="clear" w:color="auto" w:fill="FBD4B4" w:themeFill="accent6" w:themeFillTint="66"/>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阴极铜期货合约（5吨）</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合约类型</w:t>
            </w:r>
          </w:p>
        </w:tc>
        <w:tc>
          <w:tcPr>
            <w:tcW w:w="6378"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看涨期权，看跌期权</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BD4B4" w:themeFill="accent6" w:themeFillTint="66"/>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交易单位</w:t>
            </w:r>
          </w:p>
        </w:tc>
        <w:tc>
          <w:tcPr>
            <w:tcW w:w="6378" w:type="dxa"/>
            <w:tcBorders>
              <w:top w:val="single" w:color="000000" w:sz="8" w:space="0"/>
              <w:left w:val="single" w:color="000000" w:sz="8" w:space="0"/>
              <w:bottom w:val="single" w:color="000000" w:sz="8" w:space="0"/>
              <w:right w:val="single" w:color="000000" w:sz="12" w:space="0"/>
            </w:tcBorders>
            <w:shd w:val="clear" w:color="auto" w:fill="FBD4B4" w:themeFill="accent6" w:themeFillTint="66"/>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1手阴极铜期货合约</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报价单位</w:t>
            </w:r>
          </w:p>
        </w:tc>
        <w:tc>
          <w:tcPr>
            <w:tcW w:w="6378"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元（人民币）/吨</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BD4B4" w:themeFill="accent6" w:themeFillTint="66"/>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最小变动价位</w:t>
            </w:r>
          </w:p>
        </w:tc>
        <w:tc>
          <w:tcPr>
            <w:tcW w:w="6378" w:type="dxa"/>
            <w:tcBorders>
              <w:top w:val="single" w:color="000000" w:sz="8" w:space="0"/>
              <w:left w:val="single" w:color="000000" w:sz="8" w:space="0"/>
              <w:bottom w:val="single" w:color="000000" w:sz="8" w:space="0"/>
              <w:right w:val="single" w:color="000000" w:sz="12" w:space="0"/>
            </w:tcBorders>
            <w:shd w:val="clear" w:color="auto" w:fill="FBD4B4" w:themeFill="accent6" w:themeFillTint="66"/>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1 元/吨</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涨跌停板幅度</w:t>
            </w:r>
          </w:p>
        </w:tc>
        <w:tc>
          <w:tcPr>
            <w:tcW w:w="6378"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与阴极铜期货合约涨跌停板幅度相同</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BD4B4" w:themeFill="accent6" w:themeFillTint="66"/>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合约月份</w:t>
            </w:r>
          </w:p>
        </w:tc>
        <w:tc>
          <w:tcPr>
            <w:tcW w:w="6378" w:type="dxa"/>
            <w:tcBorders>
              <w:top w:val="single" w:color="000000" w:sz="8" w:space="0"/>
              <w:left w:val="single" w:color="000000" w:sz="8" w:space="0"/>
              <w:bottom w:val="single" w:color="000000" w:sz="8" w:space="0"/>
              <w:right w:val="single" w:color="000000" w:sz="12" w:space="0"/>
            </w:tcBorders>
            <w:shd w:val="clear" w:color="auto" w:fill="FBD4B4" w:themeFill="accent6" w:themeFillTint="66"/>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与上市标的期货合约相同</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交易时间</w:t>
            </w:r>
          </w:p>
        </w:tc>
        <w:tc>
          <w:tcPr>
            <w:tcW w:w="6378"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上午9:00-11:30下午13:30-15:00及交易所规定的其他时间</w:t>
            </w:r>
          </w:p>
        </w:tc>
      </w:tr>
      <w:tr>
        <w:tblPrEx>
          <w:tblLayout w:type="fixed"/>
          <w:tblCellMar>
            <w:top w:w="0" w:type="dxa"/>
            <w:left w:w="108" w:type="dxa"/>
            <w:bottom w:w="0" w:type="dxa"/>
            <w:right w:w="108" w:type="dxa"/>
          </w:tblCellMar>
        </w:tblPrEx>
        <w:trPr>
          <w:cantSplit/>
          <w:trHeight w:val="567"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BD4B4" w:themeFill="accent6" w:themeFillTint="66"/>
            <w:tcMar>
              <w:top w:w="80" w:type="dxa"/>
              <w:left w:w="80" w:type="dxa"/>
              <w:bottom w:w="80" w:type="dxa"/>
              <w:right w:w="80" w:type="dxa"/>
            </w:tcMar>
            <w:vAlign w:val="center"/>
          </w:tcPr>
          <w:p>
            <w:pPr>
              <w:jc w:val="center"/>
              <w:rPr>
                <w:rFonts w:hint="eastAsia" w:ascii="黑体" w:hAnsi="黑体" w:eastAsia="黑体" w:cs="黑体"/>
                <w:sz w:val="21"/>
                <w:szCs w:val="21"/>
                <w:shd w:val="clear" w:color="auto" w:fill="D8D8D8"/>
              </w:rPr>
            </w:pPr>
            <w:r>
              <w:rPr>
                <w:rFonts w:hint="eastAsia" w:ascii="黑体" w:hAnsi="黑体" w:eastAsia="黑体" w:cs="黑体"/>
                <w:sz w:val="21"/>
                <w:szCs w:val="21"/>
              </w:rPr>
              <w:t>最后交易日</w:t>
            </w:r>
          </w:p>
        </w:tc>
        <w:tc>
          <w:tcPr>
            <w:tcW w:w="6378" w:type="dxa"/>
            <w:tcBorders>
              <w:top w:val="single" w:color="000000" w:sz="8" w:space="0"/>
              <w:left w:val="single" w:color="000000" w:sz="8" w:space="0"/>
              <w:bottom w:val="single" w:color="000000" w:sz="8" w:space="0"/>
              <w:right w:val="single" w:color="000000" w:sz="12" w:space="0"/>
            </w:tcBorders>
            <w:shd w:val="clear" w:color="auto" w:fill="FBD4B4" w:themeFill="accent6" w:themeFillTint="66"/>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标的期货合约交割月前第一月的倒数第五个交易日，交易所可以根据国家法定节假日调整最后交易日</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到期日</w:t>
            </w:r>
          </w:p>
        </w:tc>
        <w:tc>
          <w:tcPr>
            <w:tcW w:w="6378"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同最后交易日</w:t>
            </w:r>
          </w:p>
        </w:tc>
      </w:tr>
      <w:tr>
        <w:tblPrEx>
          <w:tblLayout w:type="fixed"/>
          <w:tblCellMar>
            <w:top w:w="0" w:type="dxa"/>
            <w:left w:w="108" w:type="dxa"/>
            <w:bottom w:w="0" w:type="dxa"/>
            <w:right w:w="108" w:type="dxa"/>
          </w:tblCellMar>
        </w:tblPrEx>
        <w:trPr>
          <w:cantSplit/>
          <w:trHeight w:val="1740"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BD4B4" w:themeFill="accent6" w:themeFillTint="66"/>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行权价格</w:t>
            </w:r>
          </w:p>
        </w:tc>
        <w:tc>
          <w:tcPr>
            <w:tcW w:w="6378" w:type="dxa"/>
            <w:tcBorders>
              <w:top w:val="single" w:color="000000" w:sz="8" w:space="0"/>
              <w:left w:val="single" w:color="000000" w:sz="8" w:space="0"/>
              <w:bottom w:val="single" w:color="000000" w:sz="8" w:space="0"/>
              <w:right w:val="single" w:color="000000" w:sz="12" w:space="0"/>
            </w:tcBorders>
            <w:shd w:val="clear" w:color="auto" w:fill="FBD4B4" w:themeFill="accent6" w:themeFillTint="66"/>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行权价格覆盖阴极铜期货合约上一交易日结算价上下1倍当日涨跌停板幅度对应的价格范围。行权价格≤40000元/吨，行权价格间距为500元/吨；40000元/吨＜行权价格≤80000元/吨，行权价格间距为1000元/吨；行权价格＞80000元/吨，行权价格间距为2000元/吨</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行权方式</w:t>
            </w:r>
          </w:p>
        </w:tc>
        <w:tc>
          <w:tcPr>
            <w:tcW w:w="6378"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欧式。到期日买方可以在15:30之前提出行权申请、放弃申请</w:t>
            </w:r>
          </w:p>
        </w:tc>
      </w:tr>
      <w:tr>
        <w:tblPrEx>
          <w:tblLayout w:type="fixed"/>
          <w:tblCellMar>
            <w:top w:w="0" w:type="dxa"/>
            <w:left w:w="108" w:type="dxa"/>
            <w:bottom w:w="0" w:type="dxa"/>
            <w:right w:w="108" w:type="dxa"/>
          </w:tblCellMar>
        </w:tblPrEx>
        <w:trPr>
          <w:cantSplit/>
          <w:trHeight w:val="567"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BD4B4" w:themeFill="accent6" w:themeFillTint="66"/>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交易代码</w:t>
            </w:r>
          </w:p>
        </w:tc>
        <w:tc>
          <w:tcPr>
            <w:tcW w:w="6378" w:type="dxa"/>
            <w:tcBorders>
              <w:top w:val="single" w:color="000000" w:sz="8" w:space="0"/>
              <w:left w:val="single" w:color="000000" w:sz="8" w:space="0"/>
              <w:bottom w:val="single" w:color="000000" w:sz="8" w:space="0"/>
              <w:right w:val="single" w:color="000000" w:sz="12" w:space="0"/>
            </w:tcBorders>
            <w:shd w:val="clear" w:color="auto" w:fill="FBD4B4" w:themeFill="accent6" w:themeFillTint="66"/>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看涨期权：CU-合约月份-C-行权价格</w:t>
            </w:r>
          </w:p>
          <w:p>
            <w:pPr>
              <w:jc w:val="center"/>
              <w:rPr>
                <w:rFonts w:hint="eastAsia" w:ascii="黑体" w:hAnsi="黑体" w:eastAsia="黑体" w:cs="黑体"/>
                <w:sz w:val="21"/>
                <w:szCs w:val="21"/>
              </w:rPr>
            </w:pPr>
            <w:r>
              <w:rPr>
                <w:rFonts w:hint="eastAsia" w:ascii="黑体" w:hAnsi="黑体" w:eastAsia="黑体" w:cs="黑体"/>
                <w:sz w:val="21"/>
                <w:szCs w:val="21"/>
              </w:rPr>
              <w:t>看跌期权：CU-合约月份-P-行权价格</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12" w:space="0"/>
              <w:right w:val="single" w:color="000000" w:sz="8" w:space="0"/>
            </w:tcBorders>
            <w:shd w:val="clear" w:color="auto" w:fill="FFFFFF"/>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上市交易所</w:t>
            </w:r>
          </w:p>
        </w:tc>
        <w:tc>
          <w:tcPr>
            <w:tcW w:w="6378" w:type="dxa"/>
            <w:tcBorders>
              <w:top w:val="single" w:color="000000" w:sz="8" w:space="0"/>
              <w:left w:val="single" w:color="000000" w:sz="8" w:space="0"/>
              <w:bottom w:val="single" w:color="000000" w:sz="12" w:space="0"/>
              <w:right w:val="single" w:color="000000" w:sz="12" w:space="0"/>
            </w:tcBorders>
            <w:shd w:val="clear" w:color="auto" w:fill="FFFFFF"/>
            <w:tcMar>
              <w:top w:w="80" w:type="dxa"/>
              <w:left w:w="80" w:type="dxa"/>
              <w:bottom w:w="80" w:type="dxa"/>
              <w:right w:w="80" w:type="dxa"/>
            </w:tcMar>
            <w:vAlign w:val="center"/>
          </w:tcPr>
          <w:p>
            <w:pPr>
              <w:jc w:val="center"/>
              <w:rPr>
                <w:rFonts w:hint="eastAsia" w:ascii="黑体" w:hAnsi="黑体" w:eastAsia="黑体" w:cs="黑体"/>
                <w:sz w:val="21"/>
                <w:szCs w:val="21"/>
              </w:rPr>
            </w:pPr>
            <w:r>
              <w:rPr>
                <w:rFonts w:hint="eastAsia" w:ascii="黑体" w:hAnsi="黑体" w:eastAsia="黑体" w:cs="黑体"/>
                <w:sz w:val="21"/>
                <w:szCs w:val="21"/>
              </w:rPr>
              <w:t>上海期货交易所</w:t>
            </w:r>
          </w:p>
        </w:tc>
      </w:tr>
    </w:tbl>
    <w:p>
      <w:pPr>
        <w:spacing w:line="360" w:lineRule="auto"/>
        <w:rPr>
          <w:rFonts w:hint="eastAsia"/>
          <w:b/>
          <w:bCs/>
          <w:sz w:val="18"/>
          <w:szCs w:val="18"/>
        </w:rPr>
      </w:pPr>
      <w:r>
        <w:rPr>
          <w:rFonts w:hint="eastAsia"/>
          <w:b/>
          <w:bCs/>
          <w:sz w:val="18"/>
          <w:szCs w:val="18"/>
        </w:rPr>
        <w:t>资料来源：上期所，广州期货研究所</w:t>
      </w:r>
    </w:p>
    <w:p>
      <w:pPr>
        <w:spacing w:line="360" w:lineRule="auto"/>
        <w:rPr>
          <w:rFonts w:hint="eastAsia"/>
          <w:b/>
          <w:bCs/>
          <w:sz w:val="18"/>
          <w:szCs w:val="18"/>
        </w:rPr>
      </w:pPr>
    </w:p>
    <w:p>
      <w:pPr>
        <w:spacing w:line="360" w:lineRule="auto"/>
        <w:rPr>
          <w:rFonts w:hint="eastAsia" w:ascii="宋体" w:hAnsi="宋体" w:eastAsia="宋体"/>
          <w:b/>
          <w:szCs w:val="21"/>
          <w:lang w:eastAsia="zh-CN"/>
        </w:rPr>
      </w:pPr>
      <w:r>
        <w:rPr>
          <w:rFonts w:hint="eastAsia" w:ascii="宋体" w:hAnsi="宋体"/>
          <w:b/>
          <w:szCs w:val="21"/>
          <w:lang w:val="en-US" w:eastAsia="zh-CN"/>
        </w:rPr>
        <w:t>合约标的</w:t>
      </w:r>
    </w:p>
    <w:p>
      <w:pPr>
        <w:spacing w:line="360" w:lineRule="auto"/>
        <w:rPr>
          <w:rFonts w:hint="eastAsia" w:ascii="宋体" w:hAnsi="宋体" w:eastAsia="宋体"/>
          <w:bCs/>
          <w:szCs w:val="21"/>
          <w:lang w:val="en-US" w:eastAsia="zh-CN"/>
        </w:rPr>
      </w:pPr>
      <w:r>
        <w:rPr>
          <w:rFonts w:hint="eastAsia" w:ascii="宋体" w:hAnsi="宋体"/>
          <w:bCs/>
          <w:szCs w:val="21"/>
          <w:lang w:val="en-US" w:eastAsia="zh-CN"/>
        </w:rPr>
        <w:t>铜期权的合约标的物为沪铜期货合约，意味着期权一旦步入行权，用于行权的必须是在上期所进行交易的铜期货合约。企业如果想通过行使期权来获得铜的现货，必须先通过铜期权得到铜的期货合约，再等期货到期后交割得到现货。</w:t>
      </w:r>
    </w:p>
    <w:p>
      <w:pPr>
        <w:spacing w:line="360" w:lineRule="auto"/>
        <w:rPr>
          <w:rFonts w:hint="eastAsia" w:ascii="宋体" w:hAnsi="宋体" w:eastAsia="宋体"/>
          <w:b/>
          <w:szCs w:val="21"/>
          <w:lang w:val="en-US" w:eastAsia="zh-CN"/>
        </w:rPr>
      </w:pPr>
      <w:r>
        <w:rPr>
          <w:rFonts w:hint="eastAsia" w:ascii="宋体" w:hAnsi="宋体"/>
          <w:b/>
          <w:szCs w:val="21"/>
          <w:lang w:val="en-US" w:eastAsia="zh-CN"/>
        </w:rPr>
        <w:t>合约类型与代码</w:t>
      </w:r>
    </w:p>
    <w:p>
      <w:pPr>
        <w:spacing w:line="360" w:lineRule="auto"/>
        <w:rPr>
          <w:rFonts w:hint="eastAsia" w:ascii="宋体" w:hAnsi="宋体"/>
          <w:bCs/>
          <w:szCs w:val="21"/>
          <w:lang w:val="en-US" w:eastAsia="zh-CN"/>
        </w:rPr>
      </w:pPr>
      <w:r>
        <w:rPr>
          <w:rFonts w:hint="eastAsia" w:ascii="宋体" w:hAnsi="宋体"/>
          <w:bCs/>
          <w:szCs w:val="21"/>
          <w:lang w:val="en-US" w:eastAsia="zh-CN"/>
        </w:rPr>
        <w:t>期权分为看涨期权和看跌期权两个基本类型，在合约代码里，看涨期权用C表示，看跌期权用P表示。一个标准的铜期权合约代码形式为（举例）CU1811P50000。其中，CU代表了期权的标的铜期货；1811代表期权的到期月份，即2018年11月；P代表期权为看跌期权；50000代表着期权的行权</w:t>
      </w:r>
      <w:bookmarkStart w:id="0" w:name="_GoBack"/>
      <w:bookmarkEnd w:id="0"/>
      <w:r>
        <w:rPr>
          <w:rFonts w:hint="eastAsia" w:ascii="宋体" w:hAnsi="宋体"/>
          <w:bCs/>
          <w:szCs w:val="21"/>
          <w:lang w:val="en-US" w:eastAsia="zh-CN"/>
        </w:rPr>
        <w:t>价格在50000元。</w:t>
      </w:r>
    </w:p>
    <w:p>
      <w:pPr>
        <w:spacing w:line="360" w:lineRule="auto"/>
        <w:rPr>
          <w:rFonts w:hint="eastAsia" w:ascii="宋体" w:hAnsi="宋体"/>
          <w:b/>
          <w:szCs w:val="21"/>
          <w:lang w:val="en-US" w:eastAsia="zh-CN"/>
        </w:rPr>
      </w:pPr>
      <w:r>
        <w:rPr>
          <w:rFonts w:hint="eastAsia" w:ascii="宋体" w:hAnsi="宋体"/>
          <w:b/>
          <w:szCs w:val="21"/>
          <w:lang w:val="en-US" w:eastAsia="zh-CN"/>
        </w:rPr>
        <w:t>交易单位</w:t>
      </w:r>
    </w:p>
    <w:p>
      <w:pPr>
        <w:spacing w:line="360" w:lineRule="auto"/>
        <w:rPr>
          <w:rFonts w:hint="eastAsia" w:ascii="宋体" w:hAnsi="宋体"/>
          <w:b w:val="0"/>
          <w:bCs/>
          <w:szCs w:val="21"/>
          <w:lang w:val="en-US" w:eastAsia="zh-CN"/>
        </w:rPr>
      </w:pPr>
      <w:r>
        <w:rPr>
          <w:rFonts w:hint="eastAsia" w:ascii="宋体" w:hAnsi="宋体"/>
          <w:b w:val="0"/>
          <w:bCs/>
          <w:szCs w:val="21"/>
          <w:lang w:val="en-US" w:eastAsia="zh-CN"/>
        </w:rPr>
        <w:t>铜期权的交易单位为5吨/手，与铜期货的交易单位一致，因此，一手铜期权合约在行权后得到的就是一手铜期货合约。</w:t>
      </w:r>
    </w:p>
    <w:p>
      <w:pPr>
        <w:spacing w:line="360" w:lineRule="auto"/>
        <w:rPr>
          <w:rFonts w:hint="eastAsia" w:ascii="宋体" w:hAnsi="宋体"/>
          <w:b/>
          <w:szCs w:val="21"/>
          <w:lang w:val="en-US" w:eastAsia="zh-CN"/>
        </w:rPr>
      </w:pPr>
      <w:r>
        <w:rPr>
          <w:rFonts w:hint="eastAsia" w:ascii="宋体" w:hAnsi="宋体"/>
          <w:b/>
          <w:szCs w:val="21"/>
          <w:lang w:val="en-US" w:eastAsia="zh-CN"/>
        </w:rPr>
        <w:t>涨跌停板幅度</w:t>
      </w:r>
    </w:p>
    <w:p>
      <w:pPr>
        <w:spacing w:line="360" w:lineRule="auto"/>
        <w:rPr>
          <w:rFonts w:hint="eastAsia" w:ascii="宋体" w:hAnsi="宋体" w:eastAsia="宋体" w:cs="宋体"/>
          <w:b w:val="0"/>
          <w:bCs/>
          <w:szCs w:val="21"/>
          <w:lang w:val="en-US" w:eastAsia="zh-CN"/>
        </w:rPr>
      </w:pPr>
      <w:r>
        <w:rPr>
          <w:rFonts w:hint="eastAsia" w:ascii="宋体" w:hAnsi="宋体"/>
          <w:b w:val="0"/>
          <w:bCs/>
          <w:szCs w:val="21"/>
          <w:lang w:val="en-US" w:eastAsia="zh-CN"/>
        </w:rPr>
        <w:t>铜期权的涨跌停板幅度要与铜期货的涨跌停板幅度一致，但因为期权价格基数较小，涨跌幅会有更加剧烈的波动。假设铜期货现在的价格在50000元，以5%的涨跌停板幅度计算，涨跌停幅度应为</w:t>
      </w:r>
      <w:r>
        <w:rPr>
          <w:rFonts w:hint="eastAsia" w:ascii="宋体" w:hAnsi="宋体" w:eastAsia="宋体" w:cs="宋体"/>
          <w:b w:val="0"/>
          <w:bCs/>
          <w:szCs w:val="21"/>
          <w:lang w:val="en-US" w:eastAsia="zh-CN"/>
        </w:rPr>
        <w:t>±</w:t>
      </w:r>
      <w:r>
        <w:rPr>
          <w:rFonts w:hint="eastAsia" w:ascii="宋体" w:hAnsi="宋体"/>
          <w:b w:val="0"/>
          <w:bCs/>
          <w:szCs w:val="21"/>
          <w:lang w:val="en-US" w:eastAsia="zh-CN"/>
        </w:rPr>
        <w:t>50000*5%=</w:t>
      </w:r>
      <w:r>
        <w:rPr>
          <w:rFonts w:hint="eastAsia" w:ascii="宋体" w:hAnsi="宋体" w:eastAsia="宋体" w:cs="宋体"/>
          <w:b w:val="0"/>
          <w:bCs/>
          <w:szCs w:val="21"/>
          <w:lang w:val="en-US" w:eastAsia="zh-CN"/>
        </w:rPr>
        <w:t>±</w:t>
      </w:r>
      <w:r>
        <w:rPr>
          <w:rFonts w:hint="eastAsia" w:ascii="宋体" w:hAnsi="宋体"/>
          <w:b w:val="0"/>
          <w:bCs/>
          <w:szCs w:val="21"/>
          <w:lang w:val="en-US" w:eastAsia="zh-CN"/>
        </w:rPr>
        <w:t>2500元。如果距离到期还有一个月的铜平值期权价格为1000元，那么它的日内波动范围为[0，3500]元，换成百分比的话范围为[-100%，250%]。</w:t>
      </w:r>
    </w:p>
    <w:p>
      <w:pPr>
        <w:spacing w:line="360" w:lineRule="auto"/>
        <w:rPr>
          <w:rFonts w:hint="eastAsia" w:ascii="宋体" w:hAnsi="宋体"/>
          <w:b/>
          <w:szCs w:val="21"/>
          <w:lang w:val="en-US" w:eastAsia="zh-CN"/>
        </w:rPr>
      </w:pPr>
      <w:r>
        <w:rPr>
          <w:rFonts w:hint="eastAsia" w:ascii="宋体" w:hAnsi="宋体"/>
          <w:b/>
          <w:szCs w:val="21"/>
          <w:lang w:val="en-US" w:eastAsia="zh-CN"/>
        </w:rPr>
        <w:t>合约月份</w:t>
      </w:r>
    </w:p>
    <w:p>
      <w:pPr>
        <w:spacing w:line="360" w:lineRule="auto"/>
        <w:rPr>
          <w:rFonts w:hint="eastAsia" w:ascii="宋体" w:hAnsi="宋体"/>
          <w:b w:val="0"/>
          <w:bCs/>
          <w:szCs w:val="21"/>
          <w:lang w:val="en-US" w:eastAsia="zh-CN"/>
        </w:rPr>
      </w:pPr>
      <w:r>
        <w:rPr>
          <w:rFonts w:hint="eastAsia" w:ascii="宋体" w:hAnsi="宋体"/>
          <w:b w:val="0"/>
          <w:bCs/>
          <w:szCs w:val="21"/>
          <w:lang w:val="en-US" w:eastAsia="zh-CN"/>
        </w:rPr>
        <w:t>铜期权的合约月份与铜期货合约月份一致，都是从近月合约开始连续延续12个月。当前铜期货的近月合约为CU1810，即10月合约，那么铜期权和期货的合约月份为2018年10月至2019年9月共12个月。需要的注意的是，为了避免出现新品种上市近月份合约流动性不足的情况，上期所规定，铜期权上市时的合约月份是从2019年1月开始，到2019年9月，少了2018年10、11、12三个月的合约。除此之外，每当铜期货新出了一个月份的合约，铜期权都会相应推出相同月份的期权合约。</w:t>
      </w:r>
    </w:p>
    <w:p>
      <w:pPr>
        <w:spacing w:line="360" w:lineRule="auto"/>
        <w:rPr>
          <w:rFonts w:hint="eastAsia" w:ascii="宋体" w:hAnsi="宋体"/>
          <w:b/>
          <w:szCs w:val="21"/>
          <w:lang w:val="en-US" w:eastAsia="zh-CN"/>
        </w:rPr>
      </w:pPr>
      <w:r>
        <w:rPr>
          <w:rFonts w:hint="eastAsia" w:ascii="宋体" w:hAnsi="宋体"/>
          <w:b/>
          <w:szCs w:val="21"/>
          <w:lang w:val="en-US" w:eastAsia="zh-CN"/>
        </w:rPr>
        <w:t>交易时间</w:t>
      </w:r>
    </w:p>
    <w:p>
      <w:pPr>
        <w:spacing w:line="360" w:lineRule="auto"/>
        <w:rPr>
          <w:rFonts w:hint="eastAsia" w:ascii="宋体" w:hAnsi="宋体"/>
          <w:b w:val="0"/>
          <w:bCs/>
          <w:szCs w:val="21"/>
          <w:lang w:val="en-US" w:eastAsia="zh-CN"/>
        </w:rPr>
      </w:pPr>
      <w:r>
        <w:rPr>
          <w:rFonts w:hint="eastAsia" w:ascii="宋体" w:hAnsi="宋体"/>
          <w:b w:val="0"/>
          <w:bCs/>
          <w:szCs w:val="21"/>
          <w:lang w:val="en-US" w:eastAsia="zh-CN"/>
        </w:rPr>
        <w:t>铜期权的交易时间与铜期货交易时间一致，为每周一至周五09:00-10:15、10:30-11:30、13:30-15:00、21:00-次日1:00，连续交易时间，20:55-21:00为集合竞价时段。上市首日交易时间为21日当日，08:55-09:00集合竞价，09:00开盘。</w:t>
      </w:r>
    </w:p>
    <w:p>
      <w:pPr>
        <w:spacing w:line="360" w:lineRule="auto"/>
        <w:rPr>
          <w:rFonts w:hint="eastAsia" w:ascii="宋体" w:hAnsi="宋体"/>
          <w:b/>
          <w:szCs w:val="21"/>
          <w:lang w:val="en-US" w:eastAsia="zh-CN"/>
        </w:rPr>
      </w:pPr>
      <w:r>
        <w:rPr>
          <w:rFonts w:hint="eastAsia" w:ascii="宋体" w:hAnsi="宋体"/>
          <w:b/>
          <w:szCs w:val="21"/>
          <w:lang w:val="en-US" w:eastAsia="zh-CN"/>
        </w:rPr>
        <w:t>最后交易日及到期日</w:t>
      </w:r>
    </w:p>
    <w:p>
      <w:pPr>
        <w:spacing w:line="360" w:lineRule="auto"/>
        <w:rPr>
          <w:rFonts w:hint="eastAsia" w:ascii="宋体" w:hAnsi="宋体"/>
          <w:b w:val="0"/>
          <w:bCs/>
          <w:szCs w:val="21"/>
          <w:lang w:val="en-US" w:eastAsia="zh-CN"/>
        </w:rPr>
      </w:pPr>
      <w:r>
        <w:rPr>
          <w:rFonts w:hint="eastAsia" w:ascii="宋体" w:hAnsi="宋体"/>
          <w:b w:val="0"/>
          <w:bCs/>
          <w:szCs w:val="21"/>
          <w:lang w:val="en-US" w:eastAsia="zh-CN"/>
        </w:rPr>
        <w:t>铜期权的最后交易日为其标的期货交割月前一个月的倒数第五个交易日，例如10月到期的铜期权会在9月底完成期权的行权，行权后得到的铜期货会接着在10月进行交割。不想将期权行权的投资者需要在最后交易日之前将期权头寸平仓。铜期权的到期日与其最后交易日一致。</w:t>
      </w:r>
    </w:p>
    <w:p>
      <w:pPr>
        <w:spacing w:line="360" w:lineRule="auto"/>
        <w:rPr>
          <w:rFonts w:hint="eastAsia" w:ascii="宋体" w:hAnsi="宋体"/>
          <w:b/>
          <w:szCs w:val="21"/>
          <w:lang w:val="en-US" w:eastAsia="zh-CN"/>
        </w:rPr>
      </w:pPr>
      <w:r>
        <w:rPr>
          <w:rFonts w:hint="eastAsia" w:ascii="宋体" w:hAnsi="宋体"/>
          <w:b/>
          <w:szCs w:val="21"/>
          <w:lang w:val="en-US" w:eastAsia="zh-CN"/>
        </w:rPr>
        <w:t>行权价格</w:t>
      </w:r>
    </w:p>
    <w:p>
      <w:pPr>
        <w:spacing w:line="360" w:lineRule="auto"/>
        <w:rPr>
          <w:rFonts w:hint="eastAsia" w:ascii="宋体" w:hAnsi="宋体"/>
          <w:b w:val="0"/>
          <w:bCs/>
          <w:szCs w:val="21"/>
          <w:lang w:val="en-US" w:eastAsia="zh-CN"/>
        </w:rPr>
      </w:pPr>
      <w:r>
        <w:rPr>
          <w:rFonts w:hint="eastAsia" w:ascii="宋体" w:hAnsi="宋体"/>
          <w:b w:val="0"/>
          <w:bCs/>
          <w:szCs w:val="21"/>
          <w:lang w:val="en-US" w:eastAsia="zh-CN"/>
        </w:rPr>
        <w:t>市场上交易的铜期权行权价格范围将由其标的铜期货上一交易日结算价的涨跌停板幅度所决定。当标的价格为50000元时，行权价格的范围为[47500,52500]元，行权间距为1000元，则市面上出现的行权价格有48000、49000、50000、51000、52000元。</w:t>
      </w:r>
    </w:p>
    <w:p>
      <w:pPr>
        <w:spacing w:line="360" w:lineRule="auto"/>
        <w:rPr>
          <w:rFonts w:hint="eastAsia" w:ascii="宋体" w:hAnsi="宋体"/>
          <w:b/>
          <w:szCs w:val="21"/>
          <w:lang w:val="en-US" w:eastAsia="zh-CN"/>
        </w:rPr>
      </w:pPr>
      <w:r>
        <w:rPr>
          <w:rFonts w:hint="eastAsia" w:ascii="宋体" w:hAnsi="宋体"/>
          <w:b/>
          <w:szCs w:val="21"/>
          <w:lang w:val="en-US" w:eastAsia="zh-CN"/>
        </w:rPr>
        <w:t>行权方式</w:t>
      </w:r>
    </w:p>
    <w:p>
      <w:pPr>
        <w:spacing w:line="360" w:lineRule="auto"/>
        <w:rPr>
          <w:rFonts w:hint="eastAsia" w:ascii="宋体" w:hAnsi="宋体"/>
          <w:b w:val="0"/>
          <w:bCs/>
          <w:szCs w:val="21"/>
          <w:lang w:val="en-US" w:eastAsia="zh-CN"/>
        </w:rPr>
      </w:pPr>
      <w:r>
        <w:rPr>
          <w:rFonts w:hint="eastAsia" w:ascii="宋体" w:hAnsi="宋体"/>
          <w:b w:val="0"/>
          <w:bCs/>
          <w:szCs w:val="21"/>
          <w:lang w:val="en-US" w:eastAsia="zh-CN"/>
        </w:rPr>
        <w:t>铜期权的的行权方式为欧式，买方只能在到期日当天15:30之前提出行权申请或放弃行权。交易所在正常情况下会自动帮持有头寸的客户行权或弃权（依据期权到期时的虚实值而定），只有当客户持有浅实值期权的时候需要自己根据到期结算价、行权成本等因素决定是否行权。</w:t>
      </w:r>
    </w:p>
    <w:p>
      <w:pPr>
        <w:spacing w:line="360" w:lineRule="auto"/>
        <w:rPr>
          <w:rFonts w:hint="eastAsia" w:ascii="宋体" w:hAnsi="宋体"/>
          <w:b w:val="0"/>
          <w:bCs/>
          <w:szCs w:val="21"/>
          <w:lang w:val="en-US" w:eastAsia="zh-CN"/>
        </w:rPr>
      </w:pPr>
    </w:p>
    <w:p>
      <w:pPr>
        <w:spacing w:line="360" w:lineRule="auto"/>
        <w:rPr>
          <w:rFonts w:hint="eastAsia" w:ascii="宋体" w:hAnsi="宋体"/>
          <w:b/>
          <w:szCs w:val="21"/>
          <w:lang w:val="en-US" w:eastAsia="zh-CN"/>
        </w:rPr>
      </w:pPr>
      <w:r>
        <w:rPr>
          <w:rFonts w:hint="eastAsia" w:ascii="宋体" w:hAnsi="宋体"/>
          <w:b/>
          <w:szCs w:val="21"/>
          <w:lang w:val="en-US" w:eastAsia="zh-CN"/>
        </w:rPr>
        <w:t>附：铜期权开户条件及流程</w:t>
      </w:r>
    </w:p>
    <w:p>
      <w:pPr>
        <w:spacing w:line="360" w:lineRule="auto"/>
        <w:jc w:val="both"/>
      </w:pPr>
      <w:r>
        <w:drawing>
          <wp:anchor distT="0" distB="0" distL="114300" distR="114300" simplePos="0" relativeHeight="251662336" behindDoc="1" locked="0" layoutInCell="1" allowOverlap="1">
            <wp:simplePos x="0" y="0"/>
            <wp:positionH relativeFrom="column">
              <wp:posOffset>2715260</wp:posOffset>
            </wp:positionH>
            <wp:positionV relativeFrom="page">
              <wp:posOffset>6698615</wp:posOffset>
            </wp:positionV>
            <wp:extent cx="2590165" cy="3107690"/>
            <wp:effectExtent l="0" t="0" r="635" b="16510"/>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0"/>
                    <a:stretch>
                      <a:fillRect/>
                    </a:stretch>
                  </pic:blipFill>
                  <pic:spPr>
                    <a:xfrm>
                      <a:off x="0" y="0"/>
                      <a:ext cx="2590165" cy="3107690"/>
                    </a:xfrm>
                    <a:prstGeom prst="rect">
                      <a:avLst/>
                    </a:prstGeom>
                    <a:noFill/>
                    <a:ln w="9525">
                      <a:noFill/>
                    </a:ln>
                  </pic:spPr>
                </pic:pic>
              </a:graphicData>
            </a:graphic>
          </wp:anchor>
        </w:drawing>
      </w:r>
      <w:r>
        <w:drawing>
          <wp:anchor distT="0" distB="0" distL="114300" distR="114300" simplePos="0" relativeHeight="251661312" behindDoc="1" locked="0" layoutInCell="1" allowOverlap="1">
            <wp:simplePos x="0" y="0"/>
            <wp:positionH relativeFrom="column">
              <wp:posOffset>2724150</wp:posOffset>
            </wp:positionH>
            <wp:positionV relativeFrom="paragraph">
              <wp:posOffset>49530</wp:posOffset>
            </wp:positionV>
            <wp:extent cx="2590165" cy="2378710"/>
            <wp:effectExtent l="0" t="0" r="38735" b="40640"/>
            <wp:wrapThrough wrapText="bothSides">
              <wp:wrapPolygon>
                <wp:start x="0" y="0"/>
                <wp:lineTo x="0" y="21450"/>
                <wp:lineTo x="21446" y="21450"/>
                <wp:lineTo x="21446" y="0"/>
                <wp:lineTo x="0" y="0"/>
              </wp:wrapPolygon>
            </wp:wrapThrough>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2590165" cy="2378710"/>
                    </a:xfrm>
                    <a:prstGeom prst="rect">
                      <a:avLst/>
                    </a:prstGeom>
                    <a:noFill/>
                    <a:ln w="9525">
                      <a:noFill/>
                    </a:ln>
                  </pic:spPr>
                </pic:pic>
              </a:graphicData>
            </a:graphic>
          </wp:anchor>
        </w:drawing>
      </w:r>
      <w:r>
        <w:drawing>
          <wp:inline distT="0" distB="0" distL="114300" distR="114300">
            <wp:extent cx="2638425" cy="4446270"/>
            <wp:effectExtent l="0" t="0" r="9525" b="1143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2638425" cy="4446270"/>
                    </a:xfrm>
                    <a:prstGeom prst="rect">
                      <a:avLst/>
                    </a:prstGeom>
                    <a:noFill/>
                    <a:ln w="9525">
                      <a:noFill/>
                    </a:ln>
                  </pic:spPr>
                </pic:pic>
              </a:graphicData>
            </a:graphic>
          </wp:inline>
        </w:drawing>
      </w:r>
    </w:p>
    <w:p>
      <w:pPr>
        <w:spacing w:line="360" w:lineRule="auto"/>
        <w:rPr>
          <w:rFonts w:hint="eastAsia"/>
          <w:lang w:val="en-US" w:eastAsia="zh-CN"/>
        </w:rPr>
      </w:pPr>
    </w:p>
    <w:p>
      <w:pPr>
        <w:pStyle w:val="27"/>
        <w:jc w:val="center"/>
        <w:rPr>
          <w:rFonts w:ascii="宋体" w:hAnsi="宋体"/>
          <w:b/>
          <w:bCs/>
          <w:color w:val="000080"/>
          <w:sz w:val="28"/>
          <w:szCs w:val="28"/>
        </w:rPr>
      </w:pPr>
      <w:r>
        <w:rPr>
          <w:rFonts w:ascii="宋体" w:hAnsi="宋体"/>
          <w:b/>
          <w:bCs/>
          <w:color w:val="000080"/>
          <w:sz w:val="28"/>
          <w:szCs w:val="28"/>
        </w:rPr>
        <w:br w:type="page"/>
      </w:r>
      <w:r>
        <w:rPr>
          <w:rFonts w:hint="eastAsia" w:ascii="宋体" w:hAnsi="宋体"/>
          <w:b/>
          <w:bCs/>
          <w:color w:val="000080"/>
          <w:sz w:val="28"/>
          <w:szCs w:val="28"/>
        </w:rPr>
        <w:t>研究所</w:t>
      </w:r>
    </w:p>
    <w:p>
      <w:pPr>
        <w:pStyle w:val="27"/>
        <w:spacing w:line="360" w:lineRule="auto"/>
        <w:ind w:firstLine="360" w:firstLineChars="200"/>
        <w:jc w:val="left"/>
        <w:rPr>
          <w:rFonts w:ascii="宋体" w:hAnsi="宋体"/>
          <w:sz w:val="18"/>
          <w:szCs w:val="18"/>
        </w:rPr>
      </w:pPr>
      <w:r>
        <w:rPr>
          <w:rFonts w:hint="eastAsia" w:ascii="宋体" w:hAnsi="宋体"/>
          <w:sz w:val="18"/>
          <w:szCs w:val="18"/>
        </w:rPr>
        <w:t>公司研究所具有一批丰富实战经验的期货产业研究员及专业的优秀分析师，致力于为客户提供中国资本市场</w:t>
      </w:r>
      <w:r>
        <w:rPr>
          <w:rFonts w:hint="eastAsia" w:ascii="宋体" w:hAnsi="宋体"/>
          <w:b/>
          <w:bCs/>
          <w:sz w:val="18"/>
          <w:szCs w:val="18"/>
        </w:rPr>
        <w:t>前瞻性、可操作性</w:t>
      </w:r>
      <w:r>
        <w:rPr>
          <w:rFonts w:hint="eastAsia" w:ascii="宋体" w:hAnsi="宋体"/>
          <w:sz w:val="18"/>
          <w:szCs w:val="18"/>
        </w:rPr>
        <w:t>的投资方案及各类型市场的研究报告，通过对市场进行深度挖掘，提示投资机会和市场风险，完成对资本市场现象、规律的研究探索。</w:t>
      </w:r>
    </w:p>
    <w:p>
      <w:pPr>
        <w:pStyle w:val="27"/>
        <w:spacing w:line="360" w:lineRule="auto"/>
        <w:ind w:firstLine="360" w:firstLineChars="200"/>
        <w:jc w:val="left"/>
        <w:rPr>
          <w:rFonts w:ascii="宋体" w:hAnsi="宋体"/>
          <w:sz w:val="18"/>
          <w:szCs w:val="18"/>
        </w:rPr>
      </w:pPr>
      <w:r>
        <w:rPr>
          <w:rFonts w:hint="eastAsia" w:ascii="宋体" w:hAnsi="宋体"/>
          <w:sz w:val="18"/>
          <w:szCs w:val="18"/>
        </w:rPr>
        <w:t>研究范围涉及目前所有商品期货以及金融衍生品；我们推崇</w:t>
      </w:r>
      <w:r>
        <w:rPr>
          <w:rFonts w:hint="eastAsia" w:ascii="宋体" w:hAnsi="宋体"/>
          <w:b/>
          <w:bCs/>
          <w:sz w:val="18"/>
          <w:szCs w:val="18"/>
        </w:rPr>
        <w:t>产业链</w:t>
      </w:r>
      <w:r>
        <w:rPr>
          <w:rFonts w:hint="eastAsia" w:ascii="宋体" w:hAnsi="宋体"/>
          <w:sz w:val="18"/>
          <w:szCs w:val="18"/>
        </w:rPr>
        <w:t>的研究；我们看重</w:t>
      </w:r>
      <w:r>
        <w:rPr>
          <w:rFonts w:hint="eastAsia" w:ascii="宋体" w:hAnsi="宋体"/>
          <w:b/>
          <w:bCs/>
          <w:sz w:val="18"/>
          <w:szCs w:val="18"/>
        </w:rPr>
        <w:t>数量分析法</w:t>
      </w:r>
      <w:r>
        <w:rPr>
          <w:rFonts w:hint="eastAsia" w:ascii="宋体" w:hAnsi="宋体"/>
          <w:sz w:val="18"/>
          <w:szCs w:val="18"/>
        </w:rPr>
        <w:t>；我们提倡</w:t>
      </w:r>
      <w:r>
        <w:rPr>
          <w:rFonts w:hint="eastAsia" w:ascii="宋体" w:hAnsi="宋体"/>
          <w:b/>
          <w:bCs/>
          <w:sz w:val="18"/>
          <w:szCs w:val="18"/>
        </w:rPr>
        <w:t>独立性</w:t>
      </w:r>
      <w:r>
        <w:rPr>
          <w:rFonts w:hint="eastAsia" w:ascii="宋体" w:hAnsi="宋体"/>
          <w:sz w:val="18"/>
          <w:szCs w:val="18"/>
        </w:rPr>
        <w:t>，鼓励分析师在纷繁复杂的环境下保持清醒。</w:t>
      </w:r>
    </w:p>
    <w:p>
      <w:pPr>
        <w:pStyle w:val="27"/>
        <w:spacing w:line="360" w:lineRule="auto"/>
        <w:ind w:firstLine="360" w:firstLineChars="200"/>
        <w:jc w:val="left"/>
        <w:rPr>
          <w:rFonts w:ascii="宋体" w:hAnsi="宋体"/>
          <w:sz w:val="18"/>
          <w:szCs w:val="18"/>
        </w:rPr>
      </w:pPr>
      <w:r>
        <w:rPr>
          <w:rFonts w:hint="eastAsia" w:ascii="宋体" w:hAnsi="宋体"/>
          <w:sz w:val="18"/>
          <w:szCs w:val="18"/>
        </w:rPr>
        <w:t>我们将积极依托</w:t>
      </w:r>
      <w:r>
        <w:rPr>
          <w:rFonts w:hint="eastAsia" w:ascii="宋体" w:hAnsi="宋体"/>
          <w:b/>
          <w:bCs/>
          <w:sz w:val="18"/>
          <w:szCs w:val="18"/>
        </w:rPr>
        <w:t>股东单位--广州证券</w:t>
      </w:r>
      <w:r>
        <w:rPr>
          <w:rFonts w:hint="eastAsia" w:ascii="宋体" w:hAnsi="宋体"/>
          <w:sz w:val="18"/>
          <w:szCs w:val="18"/>
        </w:rPr>
        <w:t>在宏观经济、产业领域的高端研究资源优势，以“</w:t>
      </w:r>
      <w:r>
        <w:rPr>
          <w:rFonts w:hint="eastAsia" w:ascii="宋体" w:hAnsi="宋体"/>
          <w:b/>
          <w:bCs/>
          <w:sz w:val="18"/>
          <w:szCs w:val="18"/>
        </w:rPr>
        <w:t>宏观、产业和行情策略分析</w:t>
      </w:r>
      <w:r>
        <w:rPr>
          <w:rFonts w:hint="eastAsia" w:ascii="宋体" w:hAnsi="宋体"/>
          <w:sz w:val="18"/>
          <w:szCs w:val="18"/>
        </w:rPr>
        <w:t>”为核心，大力推进市场化和标准化运作，逐步完善研究产品体系，打造具有特色品牌影响力的现代产业与金融研究部。</w:t>
      </w:r>
    </w:p>
    <w:p>
      <w:pPr>
        <w:pStyle w:val="27"/>
        <w:spacing w:line="360" w:lineRule="auto"/>
        <w:ind w:firstLine="360" w:firstLineChars="200"/>
        <w:rPr>
          <w:rFonts w:ascii="宋体" w:hAnsi="宋体"/>
          <w:b/>
          <w:bCs/>
          <w:sz w:val="18"/>
          <w:szCs w:val="18"/>
        </w:rPr>
      </w:pPr>
      <w:r>
        <w:rPr>
          <w:rFonts w:hint="eastAsia" w:ascii="宋体" w:hAnsi="宋体"/>
          <w:sz w:val="18"/>
          <w:szCs w:val="18"/>
        </w:rPr>
        <w:t>核心理念：</w:t>
      </w:r>
      <w:r>
        <w:rPr>
          <w:rFonts w:hint="eastAsia" w:ascii="宋体" w:hAnsi="宋体"/>
          <w:b/>
          <w:bCs/>
          <w:sz w:val="18"/>
          <w:szCs w:val="18"/>
        </w:rPr>
        <w:t>研究创造价值，深入带来远见</w:t>
      </w:r>
    </w:p>
    <w:p>
      <w:pPr>
        <w:pStyle w:val="27"/>
        <w:rPr>
          <w:rFonts w:ascii="宋体" w:hAnsi="宋体"/>
        </w:rPr>
      </w:pPr>
    </w:p>
    <w:p>
      <w:pPr>
        <w:pStyle w:val="27"/>
        <w:rPr>
          <w:rFonts w:ascii="宋体" w:hAnsi="宋体"/>
        </w:rPr>
      </w:pPr>
    </w:p>
    <w:p>
      <w:pPr>
        <w:pStyle w:val="27"/>
        <w:jc w:val="center"/>
        <w:rPr>
          <w:rFonts w:ascii="宋体" w:hAnsi="宋体"/>
          <w:b/>
          <w:bCs/>
          <w:color w:val="000080"/>
          <w:sz w:val="28"/>
          <w:szCs w:val="28"/>
        </w:rPr>
      </w:pPr>
      <w:r>
        <w:rPr>
          <w:rFonts w:hint="eastAsia" w:ascii="宋体" w:hAnsi="宋体"/>
          <w:b/>
          <w:bCs/>
          <w:color w:val="000080"/>
          <w:sz w:val="28"/>
          <w:szCs w:val="28"/>
        </w:rPr>
        <w:t>联系方式</w:t>
      </w:r>
    </w:p>
    <w:p>
      <w:pPr>
        <w:pStyle w:val="27"/>
        <w:rPr>
          <w:rFonts w:ascii="宋体" w:hAnsi="宋体"/>
          <w:sz w:val="24"/>
          <w:szCs w:val="24"/>
        </w:rPr>
      </w:pPr>
    </w:p>
    <w:p>
      <w:pPr>
        <w:pStyle w:val="27"/>
        <w:rPr>
          <w:rFonts w:ascii="宋体" w:hAnsi="宋体"/>
        </w:rPr>
      </w:pPr>
      <w:r>
        <w:rPr>
          <w:rFonts w:hint="eastAsia" w:ascii="宋体" w:hAnsi="宋体"/>
        </w:rPr>
        <w:t xml:space="preserve"> </w:t>
      </w:r>
      <w:r>
        <w:rPr>
          <w:rFonts w:hint="eastAsia" w:ascii="宋体" w:hAnsi="宋体"/>
          <w:sz w:val="18"/>
          <w:szCs w:val="18"/>
        </w:rPr>
        <w:drawing>
          <wp:inline distT="0" distB="0" distL="0" distR="0">
            <wp:extent cx="809625" cy="723900"/>
            <wp:effectExtent l="19050" t="0" r="9525" b="0"/>
            <wp:docPr id="8"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4" descr="图片1"/>
                    <pic:cNvPicPr>
                      <a:picLocks noChangeAspect="1" noChangeArrowheads="1"/>
                    </pic:cNvPicPr>
                  </pic:nvPicPr>
                  <pic:blipFill>
                    <a:blip r:embed="rId13" cstate="print"/>
                    <a:srcRect/>
                    <a:stretch>
                      <a:fillRect/>
                    </a:stretch>
                  </pic:blipFill>
                  <pic:spPr>
                    <a:xfrm>
                      <a:off x="0" y="0"/>
                      <a:ext cx="809625" cy="723900"/>
                    </a:xfrm>
                    <a:prstGeom prst="rect">
                      <a:avLst/>
                    </a:prstGeom>
                    <a:noFill/>
                    <a:ln w="9525">
                      <a:noFill/>
                      <a:miter lim="800000"/>
                      <a:headEnd/>
                      <a:tailEnd/>
                    </a:ln>
                  </pic:spPr>
                </pic:pic>
              </a:graphicData>
            </a:graphic>
          </wp:inline>
        </w:drawing>
      </w:r>
      <w:r>
        <w:rPr>
          <w:rFonts w:hint="eastAsia" w:ascii="宋体" w:hAnsi="宋体"/>
        </w:rPr>
        <w:t xml:space="preserve">         </w:t>
      </w:r>
      <w:r>
        <w:rPr>
          <w:rFonts w:hint="eastAsia" w:ascii="宋体" w:hAnsi="宋体"/>
        </w:rPr>
        <w:drawing>
          <wp:inline distT="0" distB="0" distL="0" distR="0">
            <wp:extent cx="733425" cy="733425"/>
            <wp:effectExtent l="19050" t="0" r="9525" b="0"/>
            <wp:docPr id="9" name="图片 25"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5" descr="图片4"/>
                    <pic:cNvPicPr>
                      <a:picLocks noChangeAspect="1" noChangeArrowheads="1"/>
                    </pic:cNvPicPr>
                  </pic:nvPicPr>
                  <pic:blipFill>
                    <a:blip r:embed="rId14" cstate="print"/>
                    <a:srcRect/>
                    <a:stretch>
                      <a:fillRect/>
                    </a:stretch>
                  </pic:blipFill>
                  <pic:spPr>
                    <a:xfrm>
                      <a:off x="0" y="0"/>
                      <a:ext cx="733425" cy="733425"/>
                    </a:xfrm>
                    <a:prstGeom prst="rect">
                      <a:avLst/>
                    </a:prstGeom>
                    <a:noFill/>
                    <a:ln w="9525">
                      <a:noFill/>
                      <a:miter lim="800000"/>
                      <a:headEnd/>
                      <a:tailEnd/>
                    </a:ln>
                  </pic:spPr>
                </pic:pic>
              </a:graphicData>
            </a:graphic>
          </wp:inline>
        </w:drawing>
      </w:r>
      <w:r>
        <w:rPr>
          <w:rFonts w:hint="eastAsia" w:ascii="宋体" w:hAnsi="宋体"/>
        </w:rPr>
        <w:t xml:space="preserve">         </w:t>
      </w:r>
      <w:r>
        <w:rPr>
          <w:rFonts w:hint="eastAsia" w:ascii="宋体" w:hAnsi="宋体"/>
        </w:rPr>
        <w:drawing>
          <wp:inline distT="0" distB="0" distL="0" distR="0">
            <wp:extent cx="838200" cy="771525"/>
            <wp:effectExtent l="19050" t="0" r="0" b="0"/>
            <wp:docPr id="10" name="图片 26"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6" descr="图片3"/>
                    <pic:cNvPicPr>
                      <a:picLocks noChangeAspect="1" noChangeArrowheads="1"/>
                    </pic:cNvPicPr>
                  </pic:nvPicPr>
                  <pic:blipFill>
                    <a:blip r:embed="rId15" cstate="print"/>
                    <a:srcRect/>
                    <a:stretch>
                      <a:fillRect/>
                    </a:stretch>
                  </pic:blipFill>
                  <pic:spPr>
                    <a:xfrm>
                      <a:off x="0" y="0"/>
                      <a:ext cx="838200" cy="771525"/>
                    </a:xfrm>
                    <a:prstGeom prst="rect">
                      <a:avLst/>
                    </a:prstGeom>
                    <a:noFill/>
                    <a:ln w="9525">
                      <a:noFill/>
                      <a:miter lim="800000"/>
                      <a:headEnd/>
                      <a:tailEnd/>
                    </a:ln>
                  </pic:spPr>
                </pic:pic>
              </a:graphicData>
            </a:graphic>
          </wp:inline>
        </w:drawing>
      </w:r>
      <w:r>
        <w:rPr>
          <w:rFonts w:hint="eastAsia" w:ascii="宋体" w:hAnsi="宋体"/>
        </w:rPr>
        <w:t xml:space="preserve">         </w:t>
      </w:r>
      <w:r>
        <w:rPr>
          <w:rFonts w:hint="eastAsia" w:ascii="宋体" w:hAnsi="宋体"/>
        </w:rPr>
        <w:drawing>
          <wp:inline distT="0" distB="0" distL="0" distR="0">
            <wp:extent cx="838200" cy="752475"/>
            <wp:effectExtent l="19050" t="0" r="0" b="0"/>
            <wp:docPr id="11" name="图片 2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7" descr="图片2"/>
                    <pic:cNvPicPr>
                      <a:picLocks noChangeAspect="1" noChangeArrowheads="1"/>
                    </pic:cNvPicPr>
                  </pic:nvPicPr>
                  <pic:blipFill>
                    <a:blip r:embed="rId16" cstate="print"/>
                    <a:srcRect/>
                    <a:stretch>
                      <a:fillRect/>
                    </a:stretch>
                  </pic:blipFill>
                  <pic:spPr>
                    <a:xfrm>
                      <a:off x="0" y="0"/>
                      <a:ext cx="838200" cy="752475"/>
                    </a:xfrm>
                    <a:prstGeom prst="rect">
                      <a:avLst/>
                    </a:prstGeom>
                    <a:noFill/>
                    <a:ln w="9525">
                      <a:noFill/>
                      <a:miter lim="800000"/>
                      <a:headEnd/>
                      <a:tailEnd/>
                    </a:ln>
                  </pic:spPr>
                </pic:pic>
              </a:graphicData>
            </a:graphic>
          </wp:inline>
        </w:drawing>
      </w:r>
    </w:p>
    <w:p>
      <w:pPr>
        <w:pStyle w:val="27"/>
        <w:rPr>
          <w:rFonts w:ascii="宋体" w:hAnsi="宋体"/>
          <w:sz w:val="18"/>
          <w:szCs w:val="18"/>
        </w:rPr>
      </w:pPr>
      <w:r>
        <w:rPr>
          <w:rFonts w:hint="eastAsia" w:ascii="宋体" w:hAnsi="宋体"/>
          <w:sz w:val="18"/>
          <w:szCs w:val="18"/>
        </w:rPr>
        <w:t xml:space="preserve">    金融研究               农产品研究                金属研究                 能源化工</w:t>
      </w:r>
    </w:p>
    <w:p>
      <w:pPr>
        <w:pStyle w:val="27"/>
        <w:spacing w:line="360" w:lineRule="auto"/>
        <w:rPr>
          <w:rFonts w:ascii="宋体" w:hAnsi="宋体"/>
          <w:b/>
          <w:bCs/>
          <w:sz w:val="18"/>
          <w:szCs w:val="18"/>
        </w:rPr>
      </w:pPr>
      <w:r>
        <w:rPr>
          <w:rFonts w:hint="eastAsia" w:ascii="宋体" w:hAnsi="宋体"/>
          <w:sz w:val="18"/>
          <w:szCs w:val="18"/>
        </w:rPr>
        <w:t xml:space="preserve">   020-22139824           020-22139813             020-22139817              020-22139824</w:t>
      </w:r>
    </w:p>
    <w:p>
      <w:pPr>
        <w:pStyle w:val="27"/>
        <w:rPr>
          <w:rFonts w:ascii="宋体" w:hAnsi="宋体"/>
          <w:b/>
          <w:bCs/>
          <w:sz w:val="18"/>
          <w:szCs w:val="18"/>
        </w:rPr>
      </w:pPr>
    </w:p>
    <w:p>
      <w:pPr>
        <w:pStyle w:val="27"/>
        <w:rPr>
          <w:rFonts w:ascii="宋体" w:hAnsi="宋体"/>
          <w:b/>
          <w:bCs/>
          <w:sz w:val="18"/>
          <w:szCs w:val="18"/>
        </w:rPr>
      </w:pPr>
      <w:r>
        <w:rPr>
          <w:rFonts w:hint="eastAsia" w:ascii="宋体" w:hAnsi="宋体"/>
          <w:bCs/>
          <w:sz w:val="18"/>
          <w:szCs w:val="18"/>
        </w:rPr>
        <w:t>地址：广东省广州市天河区珠江西路5号广州国际金融中心主塔写字楼第1007-1012房      邮编：510623</w:t>
      </w:r>
    </w:p>
    <w:p>
      <w:pPr>
        <w:pStyle w:val="27"/>
        <w:rPr>
          <w:rFonts w:ascii="宋体" w:hAnsi="宋体"/>
          <w:b/>
          <w:bCs/>
          <w:sz w:val="18"/>
          <w:szCs w:val="18"/>
        </w:rPr>
      </w:pPr>
    </w:p>
    <w:p>
      <w:pPr>
        <w:pStyle w:val="27"/>
        <w:rPr>
          <w:rFonts w:ascii="宋体" w:hAnsi="宋体"/>
          <w:b/>
          <w:bCs/>
          <w:sz w:val="18"/>
          <w:szCs w:val="18"/>
        </w:rPr>
      </w:pPr>
    </w:p>
    <w:p>
      <w:pPr>
        <w:pStyle w:val="27"/>
        <w:spacing w:line="360" w:lineRule="auto"/>
        <w:jc w:val="center"/>
        <w:rPr>
          <w:rFonts w:ascii="宋体" w:hAnsi="宋体"/>
          <w:b/>
          <w:bCs/>
          <w:color w:val="800000"/>
          <w:sz w:val="18"/>
          <w:szCs w:val="18"/>
        </w:rPr>
      </w:pPr>
      <w:r>
        <w:rPr>
          <w:rFonts w:hint="eastAsia" w:ascii="宋体" w:hAnsi="宋体"/>
          <w:b/>
          <w:bCs/>
          <w:color w:val="800000"/>
          <w:sz w:val="18"/>
          <w:szCs w:val="18"/>
        </w:rPr>
        <w:t>免责声明</w:t>
      </w:r>
    </w:p>
    <w:p>
      <w:pPr>
        <w:pStyle w:val="27"/>
        <w:spacing w:line="360" w:lineRule="auto"/>
        <w:ind w:firstLine="360" w:firstLineChars="200"/>
        <w:rPr>
          <w:rFonts w:ascii="宋体" w:hAnsi="宋体"/>
          <w:color w:val="808080"/>
          <w:sz w:val="18"/>
          <w:szCs w:val="18"/>
        </w:rPr>
      </w:pPr>
      <w:r>
        <w:rPr>
          <w:rFonts w:hint="eastAsia" w:ascii="宋体" w:hAnsi="宋体"/>
          <w:color w:val="800000"/>
          <w:sz w:val="18"/>
          <w:szCs w:val="18"/>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操作依据，投资者据此做出的任何投资决策与本公司和作者无关。</w:t>
      </w:r>
    </w:p>
    <w:p>
      <w:pPr>
        <w:snapToGrid w:val="0"/>
        <w:spacing w:line="480" w:lineRule="exact"/>
        <w:jc w:val="center"/>
        <w:rPr>
          <w:rFonts w:ascii="新宋体" w:hAnsi="新宋体" w:eastAsia="新宋体"/>
          <w:color w:val="FFFFFF"/>
          <w:sz w:val="36"/>
          <w:szCs w:val="36"/>
        </w:rPr>
      </w:pPr>
    </w:p>
    <w:sectPr>
      <w:headerReference r:id="rId3" w:type="default"/>
      <w:footerReference r:id="rId4" w:type="default"/>
      <w:footerReference r:id="rId5" w:type="even"/>
      <w:pgSz w:w="11906" w:h="16838"/>
      <w:pgMar w:top="1440" w:right="1797" w:bottom="731"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Gill Sans">
    <w:altName w:val="Times New Roman"/>
    <w:panose1 w:val="00000000000000000000"/>
    <w:charset w:val="00"/>
    <w:family w:val="auto"/>
    <w:pitch w:val="default"/>
    <w:sig w:usb0="00000000" w:usb1="00000000" w:usb2="00000000" w:usb3="00000000" w:csb0="00040001" w:csb1="00000000"/>
  </w:font>
  <w:font w:name="ヒラギノ角ゴ Pro W3">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5</w:t>
    </w:r>
    <w:r>
      <w:fldChar w:fldCharType="end"/>
    </w:r>
  </w:p>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jc w:val="left"/>
      <w:rPr>
        <w:rFonts w:ascii="新宋体" w:hAnsi="新宋体" w:eastAsia="新宋体"/>
        <w:bCs/>
        <w:sz w:val="24"/>
        <w:szCs w:val="24"/>
      </w:rPr>
    </w:pPr>
    <w:r>
      <w:drawing>
        <wp:anchor distT="0" distB="0" distL="114300" distR="114300" simplePos="0" relativeHeight="251658240" behindDoc="0" locked="0" layoutInCell="1" allowOverlap="1">
          <wp:simplePos x="0" y="0"/>
          <wp:positionH relativeFrom="column">
            <wp:posOffset>-685800</wp:posOffset>
          </wp:positionH>
          <wp:positionV relativeFrom="paragraph">
            <wp:posOffset>-300355</wp:posOffset>
          </wp:positionV>
          <wp:extent cx="2055495" cy="732155"/>
          <wp:effectExtent l="0" t="0" r="0" b="0"/>
          <wp:wrapNone/>
          <wp:docPr id="1" name="Picture 1" descr="广期新vi短称(越秀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广期新vi短称(越秀新版)"/>
                  <pic:cNvPicPr>
                    <a:picLocks noChangeAspect="1" noChangeArrowheads="1"/>
                  </pic:cNvPicPr>
                </pic:nvPicPr>
                <pic:blipFill>
                  <a:blip r:embed="rId1"/>
                  <a:srcRect/>
                  <a:stretch>
                    <a:fillRect/>
                  </a:stretch>
                </pic:blipFill>
                <pic:spPr>
                  <a:xfrm>
                    <a:off x="0" y="0"/>
                    <a:ext cx="2055495" cy="732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D20"/>
    <w:rsid w:val="000160A5"/>
    <w:rsid w:val="00025794"/>
    <w:rsid w:val="00027C50"/>
    <w:rsid w:val="00034249"/>
    <w:rsid w:val="00034F3E"/>
    <w:rsid w:val="0003726B"/>
    <w:rsid w:val="00037680"/>
    <w:rsid w:val="0004161A"/>
    <w:rsid w:val="00082E71"/>
    <w:rsid w:val="000830D4"/>
    <w:rsid w:val="000944F0"/>
    <w:rsid w:val="00096A22"/>
    <w:rsid w:val="0009767C"/>
    <w:rsid w:val="00097D51"/>
    <w:rsid w:val="000A32B4"/>
    <w:rsid w:val="000B4A41"/>
    <w:rsid w:val="000C0219"/>
    <w:rsid w:val="000C4243"/>
    <w:rsid w:val="000D19E4"/>
    <w:rsid w:val="000D46CA"/>
    <w:rsid w:val="000E0840"/>
    <w:rsid w:val="000F4337"/>
    <w:rsid w:val="000F4460"/>
    <w:rsid w:val="000F7F9F"/>
    <w:rsid w:val="00102237"/>
    <w:rsid w:val="00114D34"/>
    <w:rsid w:val="00130729"/>
    <w:rsid w:val="00133717"/>
    <w:rsid w:val="00172A27"/>
    <w:rsid w:val="001A7F34"/>
    <w:rsid w:val="001B7AFE"/>
    <w:rsid w:val="001D1F10"/>
    <w:rsid w:val="001D3C93"/>
    <w:rsid w:val="001D6364"/>
    <w:rsid w:val="001E12A1"/>
    <w:rsid w:val="001E3FA4"/>
    <w:rsid w:val="001E597D"/>
    <w:rsid w:val="001E6686"/>
    <w:rsid w:val="001E6ABE"/>
    <w:rsid w:val="001F7EE6"/>
    <w:rsid w:val="00200871"/>
    <w:rsid w:val="00202C23"/>
    <w:rsid w:val="00205CE6"/>
    <w:rsid w:val="00211372"/>
    <w:rsid w:val="002117CF"/>
    <w:rsid w:val="0021392B"/>
    <w:rsid w:val="00215D3C"/>
    <w:rsid w:val="00216721"/>
    <w:rsid w:val="0022247A"/>
    <w:rsid w:val="0023711F"/>
    <w:rsid w:val="00244E6F"/>
    <w:rsid w:val="002460C8"/>
    <w:rsid w:val="0026119C"/>
    <w:rsid w:val="00270BA4"/>
    <w:rsid w:val="00283D1E"/>
    <w:rsid w:val="00284CA9"/>
    <w:rsid w:val="002916E2"/>
    <w:rsid w:val="002B1691"/>
    <w:rsid w:val="002C1610"/>
    <w:rsid w:val="002D14FC"/>
    <w:rsid w:val="002D31F7"/>
    <w:rsid w:val="002D5045"/>
    <w:rsid w:val="002D5F39"/>
    <w:rsid w:val="002E6277"/>
    <w:rsid w:val="00307A09"/>
    <w:rsid w:val="00310DAC"/>
    <w:rsid w:val="00330735"/>
    <w:rsid w:val="003427F7"/>
    <w:rsid w:val="00352E86"/>
    <w:rsid w:val="00366F37"/>
    <w:rsid w:val="003709A1"/>
    <w:rsid w:val="00372C05"/>
    <w:rsid w:val="0037645F"/>
    <w:rsid w:val="00376C98"/>
    <w:rsid w:val="003A5C14"/>
    <w:rsid w:val="003B2BE1"/>
    <w:rsid w:val="003C0CD3"/>
    <w:rsid w:val="003D0B62"/>
    <w:rsid w:val="003D2F7C"/>
    <w:rsid w:val="003E6EE1"/>
    <w:rsid w:val="003E72C1"/>
    <w:rsid w:val="003F215C"/>
    <w:rsid w:val="003F6A26"/>
    <w:rsid w:val="00413FC7"/>
    <w:rsid w:val="004152F1"/>
    <w:rsid w:val="00420164"/>
    <w:rsid w:val="004350F1"/>
    <w:rsid w:val="004358CC"/>
    <w:rsid w:val="0043765B"/>
    <w:rsid w:val="00453FE1"/>
    <w:rsid w:val="00476554"/>
    <w:rsid w:val="0049654B"/>
    <w:rsid w:val="0049667A"/>
    <w:rsid w:val="004A6E18"/>
    <w:rsid w:val="004B174A"/>
    <w:rsid w:val="004B2A41"/>
    <w:rsid w:val="004B3AB6"/>
    <w:rsid w:val="004C0F24"/>
    <w:rsid w:val="004E6FD2"/>
    <w:rsid w:val="004F4BFA"/>
    <w:rsid w:val="004F5CC7"/>
    <w:rsid w:val="005044E7"/>
    <w:rsid w:val="00511C17"/>
    <w:rsid w:val="00512839"/>
    <w:rsid w:val="00521C07"/>
    <w:rsid w:val="00526131"/>
    <w:rsid w:val="00526A0D"/>
    <w:rsid w:val="00527C84"/>
    <w:rsid w:val="00530224"/>
    <w:rsid w:val="00531AB9"/>
    <w:rsid w:val="00535CF2"/>
    <w:rsid w:val="0054662E"/>
    <w:rsid w:val="00551551"/>
    <w:rsid w:val="00562CC4"/>
    <w:rsid w:val="00564271"/>
    <w:rsid w:val="00570DEA"/>
    <w:rsid w:val="00585C14"/>
    <w:rsid w:val="00591CCA"/>
    <w:rsid w:val="00597777"/>
    <w:rsid w:val="005A6958"/>
    <w:rsid w:val="005B46C8"/>
    <w:rsid w:val="005C2983"/>
    <w:rsid w:val="005C78F6"/>
    <w:rsid w:val="005D0FEC"/>
    <w:rsid w:val="005D7DA4"/>
    <w:rsid w:val="005E0112"/>
    <w:rsid w:val="005E6496"/>
    <w:rsid w:val="005E6628"/>
    <w:rsid w:val="005F2126"/>
    <w:rsid w:val="00602931"/>
    <w:rsid w:val="00611D96"/>
    <w:rsid w:val="0061306D"/>
    <w:rsid w:val="00625421"/>
    <w:rsid w:val="0063757E"/>
    <w:rsid w:val="00646092"/>
    <w:rsid w:val="006515D4"/>
    <w:rsid w:val="006655BE"/>
    <w:rsid w:val="00670239"/>
    <w:rsid w:val="006948F3"/>
    <w:rsid w:val="006962EE"/>
    <w:rsid w:val="006A2781"/>
    <w:rsid w:val="006B3205"/>
    <w:rsid w:val="006B6F87"/>
    <w:rsid w:val="006C218D"/>
    <w:rsid w:val="006D3AC2"/>
    <w:rsid w:val="006D717F"/>
    <w:rsid w:val="006F52BC"/>
    <w:rsid w:val="006F7C2E"/>
    <w:rsid w:val="007011FD"/>
    <w:rsid w:val="00702B3C"/>
    <w:rsid w:val="007208FD"/>
    <w:rsid w:val="007369E8"/>
    <w:rsid w:val="00751D7E"/>
    <w:rsid w:val="00753BB0"/>
    <w:rsid w:val="00761D7D"/>
    <w:rsid w:val="00763B89"/>
    <w:rsid w:val="00780387"/>
    <w:rsid w:val="00784158"/>
    <w:rsid w:val="00790924"/>
    <w:rsid w:val="007D256D"/>
    <w:rsid w:val="007E34B9"/>
    <w:rsid w:val="007F782F"/>
    <w:rsid w:val="008106DA"/>
    <w:rsid w:val="00814F7E"/>
    <w:rsid w:val="00816396"/>
    <w:rsid w:val="00822228"/>
    <w:rsid w:val="00823A29"/>
    <w:rsid w:val="00830F4E"/>
    <w:rsid w:val="0083195D"/>
    <w:rsid w:val="008335DE"/>
    <w:rsid w:val="0083426A"/>
    <w:rsid w:val="008516EA"/>
    <w:rsid w:val="00861D64"/>
    <w:rsid w:val="008667A8"/>
    <w:rsid w:val="00875590"/>
    <w:rsid w:val="00882E62"/>
    <w:rsid w:val="0089202F"/>
    <w:rsid w:val="008934AE"/>
    <w:rsid w:val="00894100"/>
    <w:rsid w:val="008954A2"/>
    <w:rsid w:val="008A0481"/>
    <w:rsid w:val="008A0EBF"/>
    <w:rsid w:val="008A6279"/>
    <w:rsid w:val="008A7331"/>
    <w:rsid w:val="008B6B52"/>
    <w:rsid w:val="008B7629"/>
    <w:rsid w:val="008C004C"/>
    <w:rsid w:val="008D6E72"/>
    <w:rsid w:val="008E35D3"/>
    <w:rsid w:val="008E36EB"/>
    <w:rsid w:val="008F3C48"/>
    <w:rsid w:val="008F59AC"/>
    <w:rsid w:val="00911ED3"/>
    <w:rsid w:val="00914879"/>
    <w:rsid w:val="009175CC"/>
    <w:rsid w:val="00923E2F"/>
    <w:rsid w:val="009356CF"/>
    <w:rsid w:val="00942CB6"/>
    <w:rsid w:val="00944E7C"/>
    <w:rsid w:val="00956E8A"/>
    <w:rsid w:val="0095701A"/>
    <w:rsid w:val="0096694A"/>
    <w:rsid w:val="00971522"/>
    <w:rsid w:val="00973245"/>
    <w:rsid w:val="0097651D"/>
    <w:rsid w:val="009777B2"/>
    <w:rsid w:val="009939B0"/>
    <w:rsid w:val="009978E2"/>
    <w:rsid w:val="009A1CB9"/>
    <w:rsid w:val="009B2D84"/>
    <w:rsid w:val="009D16B4"/>
    <w:rsid w:val="009E6E91"/>
    <w:rsid w:val="00A042A1"/>
    <w:rsid w:val="00A23CAB"/>
    <w:rsid w:val="00A332FB"/>
    <w:rsid w:val="00A51DE4"/>
    <w:rsid w:val="00A52833"/>
    <w:rsid w:val="00A5739C"/>
    <w:rsid w:val="00A60E7E"/>
    <w:rsid w:val="00A73003"/>
    <w:rsid w:val="00A80783"/>
    <w:rsid w:val="00A82F9D"/>
    <w:rsid w:val="00A92FB0"/>
    <w:rsid w:val="00A94F89"/>
    <w:rsid w:val="00AA1620"/>
    <w:rsid w:val="00AA57A4"/>
    <w:rsid w:val="00AA5F50"/>
    <w:rsid w:val="00AB0508"/>
    <w:rsid w:val="00AB382E"/>
    <w:rsid w:val="00AB5D6F"/>
    <w:rsid w:val="00AC1F9B"/>
    <w:rsid w:val="00AC7068"/>
    <w:rsid w:val="00AD0376"/>
    <w:rsid w:val="00AE0617"/>
    <w:rsid w:val="00AE1920"/>
    <w:rsid w:val="00AE7AC4"/>
    <w:rsid w:val="00AF438D"/>
    <w:rsid w:val="00AF7FE6"/>
    <w:rsid w:val="00B06F3B"/>
    <w:rsid w:val="00B07866"/>
    <w:rsid w:val="00B12DD9"/>
    <w:rsid w:val="00B21493"/>
    <w:rsid w:val="00B22644"/>
    <w:rsid w:val="00B345CC"/>
    <w:rsid w:val="00B34609"/>
    <w:rsid w:val="00B44722"/>
    <w:rsid w:val="00B532C3"/>
    <w:rsid w:val="00B56CA5"/>
    <w:rsid w:val="00B60D96"/>
    <w:rsid w:val="00B627C6"/>
    <w:rsid w:val="00B6454E"/>
    <w:rsid w:val="00B7213D"/>
    <w:rsid w:val="00B81186"/>
    <w:rsid w:val="00B96537"/>
    <w:rsid w:val="00BA040D"/>
    <w:rsid w:val="00BA355A"/>
    <w:rsid w:val="00BB28D2"/>
    <w:rsid w:val="00BB5244"/>
    <w:rsid w:val="00BC372F"/>
    <w:rsid w:val="00BE4249"/>
    <w:rsid w:val="00BE4A6A"/>
    <w:rsid w:val="00BF336C"/>
    <w:rsid w:val="00BF587F"/>
    <w:rsid w:val="00BF6086"/>
    <w:rsid w:val="00C007E8"/>
    <w:rsid w:val="00C033C0"/>
    <w:rsid w:val="00C048C7"/>
    <w:rsid w:val="00C133EF"/>
    <w:rsid w:val="00C31E90"/>
    <w:rsid w:val="00C42B96"/>
    <w:rsid w:val="00C52F44"/>
    <w:rsid w:val="00C66F60"/>
    <w:rsid w:val="00C8207E"/>
    <w:rsid w:val="00C83689"/>
    <w:rsid w:val="00C83D2E"/>
    <w:rsid w:val="00C8593A"/>
    <w:rsid w:val="00C873A4"/>
    <w:rsid w:val="00C953C4"/>
    <w:rsid w:val="00CA6EB7"/>
    <w:rsid w:val="00CB3F5A"/>
    <w:rsid w:val="00CC26EB"/>
    <w:rsid w:val="00CC27FE"/>
    <w:rsid w:val="00CD3B69"/>
    <w:rsid w:val="00CE6343"/>
    <w:rsid w:val="00CE6E23"/>
    <w:rsid w:val="00CF3F1E"/>
    <w:rsid w:val="00D12867"/>
    <w:rsid w:val="00D16A13"/>
    <w:rsid w:val="00D2776C"/>
    <w:rsid w:val="00D36842"/>
    <w:rsid w:val="00D36EB2"/>
    <w:rsid w:val="00D567AB"/>
    <w:rsid w:val="00D6297E"/>
    <w:rsid w:val="00D62A7E"/>
    <w:rsid w:val="00D6496A"/>
    <w:rsid w:val="00D6735D"/>
    <w:rsid w:val="00D712C9"/>
    <w:rsid w:val="00D77940"/>
    <w:rsid w:val="00D86C16"/>
    <w:rsid w:val="00D9519B"/>
    <w:rsid w:val="00DD69D0"/>
    <w:rsid w:val="00DE18BB"/>
    <w:rsid w:val="00DE68BE"/>
    <w:rsid w:val="00DE7819"/>
    <w:rsid w:val="00DF244B"/>
    <w:rsid w:val="00DF2C66"/>
    <w:rsid w:val="00DF6187"/>
    <w:rsid w:val="00E0226F"/>
    <w:rsid w:val="00E02F93"/>
    <w:rsid w:val="00E07012"/>
    <w:rsid w:val="00E07D86"/>
    <w:rsid w:val="00E10DDC"/>
    <w:rsid w:val="00E252C0"/>
    <w:rsid w:val="00E338BB"/>
    <w:rsid w:val="00E368A4"/>
    <w:rsid w:val="00E369C6"/>
    <w:rsid w:val="00E40A47"/>
    <w:rsid w:val="00E4593B"/>
    <w:rsid w:val="00E55C63"/>
    <w:rsid w:val="00E568E5"/>
    <w:rsid w:val="00E605A7"/>
    <w:rsid w:val="00E62595"/>
    <w:rsid w:val="00E6496A"/>
    <w:rsid w:val="00E678B3"/>
    <w:rsid w:val="00E73A7B"/>
    <w:rsid w:val="00E7680F"/>
    <w:rsid w:val="00E93E9B"/>
    <w:rsid w:val="00EC796A"/>
    <w:rsid w:val="00ED7D10"/>
    <w:rsid w:val="00EE4F3C"/>
    <w:rsid w:val="00EF2747"/>
    <w:rsid w:val="00EF3815"/>
    <w:rsid w:val="00F032A3"/>
    <w:rsid w:val="00F118D0"/>
    <w:rsid w:val="00F20F9D"/>
    <w:rsid w:val="00F35989"/>
    <w:rsid w:val="00F4066A"/>
    <w:rsid w:val="00F42958"/>
    <w:rsid w:val="00F4330A"/>
    <w:rsid w:val="00F6363A"/>
    <w:rsid w:val="00F7605E"/>
    <w:rsid w:val="00F93884"/>
    <w:rsid w:val="00F94221"/>
    <w:rsid w:val="00FA0E77"/>
    <w:rsid w:val="00FA1575"/>
    <w:rsid w:val="00FB0910"/>
    <w:rsid w:val="00FB5837"/>
    <w:rsid w:val="00FB68AD"/>
    <w:rsid w:val="00FC5C90"/>
    <w:rsid w:val="00FE1EEE"/>
    <w:rsid w:val="00FE6199"/>
    <w:rsid w:val="00FF7A13"/>
    <w:rsid w:val="0145198A"/>
    <w:rsid w:val="01DC7E7C"/>
    <w:rsid w:val="0236498C"/>
    <w:rsid w:val="0360081E"/>
    <w:rsid w:val="03C802CF"/>
    <w:rsid w:val="04784504"/>
    <w:rsid w:val="05960B99"/>
    <w:rsid w:val="059821DB"/>
    <w:rsid w:val="069C321F"/>
    <w:rsid w:val="087E5C93"/>
    <w:rsid w:val="08DE4E48"/>
    <w:rsid w:val="092660E6"/>
    <w:rsid w:val="09442957"/>
    <w:rsid w:val="099B0119"/>
    <w:rsid w:val="09B951A8"/>
    <w:rsid w:val="0B0D5EFA"/>
    <w:rsid w:val="0D1647FC"/>
    <w:rsid w:val="0D6218DC"/>
    <w:rsid w:val="0FE6024F"/>
    <w:rsid w:val="10251969"/>
    <w:rsid w:val="104A5221"/>
    <w:rsid w:val="10A673CA"/>
    <w:rsid w:val="10E24EEE"/>
    <w:rsid w:val="132F12A1"/>
    <w:rsid w:val="13546428"/>
    <w:rsid w:val="152C6767"/>
    <w:rsid w:val="172E5FA6"/>
    <w:rsid w:val="17737F96"/>
    <w:rsid w:val="1818387B"/>
    <w:rsid w:val="1881607F"/>
    <w:rsid w:val="19286133"/>
    <w:rsid w:val="19C23E8C"/>
    <w:rsid w:val="1A2D0CDF"/>
    <w:rsid w:val="1B3B34FE"/>
    <w:rsid w:val="1BBF1422"/>
    <w:rsid w:val="1BC953B5"/>
    <w:rsid w:val="1CCD7048"/>
    <w:rsid w:val="1D2379B1"/>
    <w:rsid w:val="1D3F3E64"/>
    <w:rsid w:val="1DC23C5E"/>
    <w:rsid w:val="1E8A57D5"/>
    <w:rsid w:val="1F755A3F"/>
    <w:rsid w:val="1F8D207E"/>
    <w:rsid w:val="202D6239"/>
    <w:rsid w:val="205913E0"/>
    <w:rsid w:val="20B15E47"/>
    <w:rsid w:val="210272C3"/>
    <w:rsid w:val="214B73AC"/>
    <w:rsid w:val="21564CBC"/>
    <w:rsid w:val="22CA0E6A"/>
    <w:rsid w:val="23745B82"/>
    <w:rsid w:val="23807AA3"/>
    <w:rsid w:val="23E67EB2"/>
    <w:rsid w:val="243A0AFB"/>
    <w:rsid w:val="247B1B05"/>
    <w:rsid w:val="24C63862"/>
    <w:rsid w:val="24D477FA"/>
    <w:rsid w:val="2546290A"/>
    <w:rsid w:val="257C7F48"/>
    <w:rsid w:val="25BF0754"/>
    <w:rsid w:val="27BD214B"/>
    <w:rsid w:val="298F19FD"/>
    <w:rsid w:val="29C06399"/>
    <w:rsid w:val="2B9F2D1C"/>
    <w:rsid w:val="2BE24497"/>
    <w:rsid w:val="2C02195F"/>
    <w:rsid w:val="2C7C6DD3"/>
    <w:rsid w:val="2CDA55C1"/>
    <w:rsid w:val="2D7C5CE8"/>
    <w:rsid w:val="2E110A69"/>
    <w:rsid w:val="2ECB2C17"/>
    <w:rsid w:val="2F881FFE"/>
    <w:rsid w:val="302F441C"/>
    <w:rsid w:val="309A1B1A"/>
    <w:rsid w:val="30A025F1"/>
    <w:rsid w:val="30BA46B0"/>
    <w:rsid w:val="30BB0740"/>
    <w:rsid w:val="30C51439"/>
    <w:rsid w:val="30E41C84"/>
    <w:rsid w:val="32775470"/>
    <w:rsid w:val="33B74D15"/>
    <w:rsid w:val="33B834D4"/>
    <w:rsid w:val="35413680"/>
    <w:rsid w:val="3561314B"/>
    <w:rsid w:val="369E785C"/>
    <w:rsid w:val="36D54974"/>
    <w:rsid w:val="36ED7282"/>
    <w:rsid w:val="388C10AB"/>
    <w:rsid w:val="39C6161F"/>
    <w:rsid w:val="3A663509"/>
    <w:rsid w:val="3A762702"/>
    <w:rsid w:val="3AE816D8"/>
    <w:rsid w:val="3B4F4989"/>
    <w:rsid w:val="3B921F45"/>
    <w:rsid w:val="3E2A60CC"/>
    <w:rsid w:val="3F444AEB"/>
    <w:rsid w:val="3F6C6D6E"/>
    <w:rsid w:val="3F6F2C7F"/>
    <w:rsid w:val="3F7813E9"/>
    <w:rsid w:val="40B34971"/>
    <w:rsid w:val="40F636AA"/>
    <w:rsid w:val="42105418"/>
    <w:rsid w:val="424C016E"/>
    <w:rsid w:val="43D6438C"/>
    <w:rsid w:val="466A7A82"/>
    <w:rsid w:val="46A9583E"/>
    <w:rsid w:val="475C7360"/>
    <w:rsid w:val="487F32DC"/>
    <w:rsid w:val="49160183"/>
    <w:rsid w:val="49597F7F"/>
    <w:rsid w:val="499B3A3D"/>
    <w:rsid w:val="49ED3494"/>
    <w:rsid w:val="4ACB0CFA"/>
    <w:rsid w:val="4C837C04"/>
    <w:rsid w:val="4C924A08"/>
    <w:rsid w:val="4C961FED"/>
    <w:rsid w:val="4F031C77"/>
    <w:rsid w:val="4FA93B3A"/>
    <w:rsid w:val="51192714"/>
    <w:rsid w:val="52322072"/>
    <w:rsid w:val="523F2B0E"/>
    <w:rsid w:val="525B1391"/>
    <w:rsid w:val="53BD0AF1"/>
    <w:rsid w:val="55EC091C"/>
    <w:rsid w:val="567059D9"/>
    <w:rsid w:val="56CC3551"/>
    <w:rsid w:val="56D12598"/>
    <w:rsid w:val="573C1BA5"/>
    <w:rsid w:val="57684D29"/>
    <w:rsid w:val="59F446DD"/>
    <w:rsid w:val="5A020E07"/>
    <w:rsid w:val="5B422AED"/>
    <w:rsid w:val="5B4A61FD"/>
    <w:rsid w:val="5B55071B"/>
    <w:rsid w:val="5BA71FD1"/>
    <w:rsid w:val="5BF23F4D"/>
    <w:rsid w:val="5C033870"/>
    <w:rsid w:val="5C3C4EEC"/>
    <w:rsid w:val="5C8658F8"/>
    <w:rsid w:val="5D342DD0"/>
    <w:rsid w:val="5D3E4470"/>
    <w:rsid w:val="5DDB2E76"/>
    <w:rsid w:val="5E462657"/>
    <w:rsid w:val="5F30542D"/>
    <w:rsid w:val="6018785E"/>
    <w:rsid w:val="60250EDA"/>
    <w:rsid w:val="60D5668E"/>
    <w:rsid w:val="611B5C48"/>
    <w:rsid w:val="61BA052A"/>
    <w:rsid w:val="62771301"/>
    <w:rsid w:val="62E5328F"/>
    <w:rsid w:val="62F946AA"/>
    <w:rsid w:val="639F5C1C"/>
    <w:rsid w:val="63FC0C04"/>
    <w:rsid w:val="655C1C09"/>
    <w:rsid w:val="657B56AD"/>
    <w:rsid w:val="65A65814"/>
    <w:rsid w:val="66803C72"/>
    <w:rsid w:val="66811DA8"/>
    <w:rsid w:val="670B42BF"/>
    <w:rsid w:val="699136C9"/>
    <w:rsid w:val="699C0A39"/>
    <w:rsid w:val="6BC477D3"/>
    <w:rsid w:val="6C5164DC"/>
    <w:rsid w:val="6D7D1C22"/>
    <w:rsid w:val="6EA14114"/>
    <w:rsid w:val="6EE41622"/>
    <w:rsid w:val="6EF55670"/>
    <w:rsid w:val="6F984543"/>
    <w:rsid w:val="6FBC4EC5"/>
    <w:rsid w:val="702A1006"/>
    <w:rsid w:val="70A96F26"/>
    <w:rsid w:val="71072B94"/>
    <w:rsid w:val="711F2F5E"/>
    <w:rsid w:val="72493491"/>
    <w:rsid w:val="739E738F"/>
    <w:rsid w:val="73BC1AF6"/>
    <w:rsid w:val="75423ECE"/>
    <w:rsid w:val="75655DA5"/>
    <w:rsid w:val="758414A7"/>
    <w:rsid w:val="75C73788"/>
    <w:rsid w:val="75D40216"/>
    <w:rsid w:val="75DA7DC6"/>
    <w:rsid w:val="765F510D"/>
    <w:rsid w:val="76BD0DA7"/>
    <w:rsid w:val="76F74BB3"/>
    <w:rsid w:val="77046572"/>
    <w:rsid w:val="781520D2"/>
    <w:rsid w:val="7AB828BB"/>
    <w:rsid w:val="7B4923B6"/>
    <w:rsid w:val="7C782A83"/>
    <w:rsid w:val="7D2B0BE7"/>
    <w:rsid w:val="7D480D53"/>
    <w:rsid w:val="7D665705"/>
    <w:rsid w:val="7DEF2584"/>
    <w:rsid w:val="7EDD0157"/>
    <w:rsid w:val="7F5A5677"/>
    <w:rsid w:val="7FDF66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numPr>
        <w:ilvl w:val="0"/>
        <w:numId w:val="1"/>
      </w:numPr>
      <w:spacing w:before="100" w:after="90" w:line="576" w:lineRule="auto"/>
      <w:outlineLvl w:val="0"/>
    </w:pPr>
    <w:rPr>
      <w:rFonts w:eastAsia="新宋体"/>
      <w:b/>
      <w:kern w:val="44"/>
      <w:sz w:val="32"/>
    </w:rPr>
  </w:style>
  <w:style w:type="paragraph" w:styleId="3">
    <w:name w:val="heading 2"/>
    <w:basedOn w:val="1"/>
    <w:next w:val="1"/>
    <w:qFormat/>
    <w:uiPriority w:val="0"/>
    <w:pPr>
      <w:keepNext/>
      <w:keepLines/>
      <w:numPr>
        <w:ilvl w:val="1"/>
        <w:numId w:val="1"/>
      </w:numPr>
      <w:spacing w:line="413" w:lineRule="auto"/>
      <w:outlineLvl w:val="1"/>
    </w:pPr>
    <w:rPr>
      <w:rFonts w:ascii="Arial" w:hAnsi="Arial" w:eastAsia="新宋体"/>
      <w:b/>
      <w:sz w:val="28"/>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numPr>
        <w:ilvl w:val="3"/>
        <w:numId w:val="1"/>
      </w:numPr>
      <w:tabs>
        <w:tab w:val="left" w:pos="1680"/>
      </w:tabs>
      <w:spacing w:line="372" w:lineRule="auto"/>
      <w:outlineLvl w:val="3"/>
    </w:pPr>
    <w:rPr>
      <w:rFonts w:ascii="Arial" w:hAnsi="Arial" w:eastAsia="新宋体"/>
      <w:b/>
      <w:sz w:val="24"/>
    </w:rPr>
  </w:style>
  <w:style w:type="character" w:default="1" w:styleId="14">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6">
    <w:name w:val="caption"/>
    <w:basedOn w:val="1"/>
    <w:next w:val="1"/>
    <w:qFormat/>
    <w:uiPriority w:val="35"/>
    <w:rPr>
      <w:rFonts w:ascii="Cambria" w:hAnsi="Cambria" w:eastAsia="黑体"/>
      <w:sz w:val="20"/>
    </w:rPr>
  </w:style>
  <w:style w:type="paragraph" w:styleId="7">
    <w:name w:val="toc 3"/>
    <w:basedOn w:val="1"/>
    <w:next w:val="1"/>
    <w:qFormat/>
    <w:uiPriority w:val="0"/>
    <w:pPr>
      <w:tabs>
        <w:tab w:val="right" w:leader="dot" w:pos="8100"/>
      </w:tabs>
      <w:ind w:firstLine="178" w:firstLineChars="85"/>
    </w:pPr>
  </w:style>
  <w:style w:type="paragraph" w:styleId="8">
    <w:name w:val="Balloon Text"/>
    <w:basedOn w:val="1"/>
    <w:link w:val="28"/>
    <w:unhideWhenUsed/>
    <w:qFormat/>
    <w:uiPriority w:val="99"/>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single" w:color="auto" w:sz="4"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5">
    <w:name w:val="page number"/>
    <w:basedOn w:val="14"/>
    <w:qFormat/>
    <w:uiPriority w:val="0"/>
  </w:style>
  <w:style w:type="character" w:styleId="16">
    <w:name w:val="Hyperlink"/>
    <w:qFormat/>
    <w:uiPriority w:val="0"/>
    <w:rPr>
      <w:color w:val="0000FF"/>
      <w:u w:val="single"/>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9">
    <w:name w:val="Light Shading Accent 2"/>
    <w:basedOn w:val="17"/>
    <w:qFormat/>
    <w:uiPriority w:val="60"/>
    <w:rPr>
      <w:rFonts w:ascii="Calibri" w:hAnsi="Calibri"/>
      <w:color w:val="943634"/>
      <w:kern w:val="2"/>
      <w:sz w:val="21"/>
      <w:szCs w:val="22"/>
    </w:rPr>
    <w:tblPr>
      <w:tblBorders>
        <w:top w:val="single" w:color="C0504D" w:sz="8" w:space="0"/>
        <w:bottom w:val="single" w:color="C0504D"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sz="8" w:space="0"/>
          <w:left w:val="nil"/>
          <w:bottom w:val="single" w:color="C0504D" w:sz="8" w:space="0"/>
          <w:right w:val="nil"/>
          <w:insideH w:val="nil"/>
          <w:insideV w:val="nil"/>
          <w:tl2br w:val="nil"/>
          <w:tr2bl w:val="nil"/>
        </w:tcBorders>
      </w:tcPr>
    </w:tblStylePr>
    <w:tblStylePr w:type="lastRow">
      <w:pPr>
        <w:spacing w:before="0" w:after="0" w:line="240" w:lineRule="auto"/>
      </w:pPr>
      <w:rPr>
        <w:b/>
        <w:bCs/>
      </w:rPr>
      <w:tblPr>
        <w:tblLayout w:type="fixed"/>
      </w:tblPr>
      <w:tcPr>
        <w:tcBorders>
          <w:top w:val="single" w:color="C0504D" w:sz="8" w:space="0"/>
          <w:left w:val="nil"/>
          <w:bottom w:val="single" w:color="C0504D" w:sz="8" w:space="0"/>
          <w:right w:val="nil"/>
          <w:insideH w:val="nil"/>
          <w:insideV w:val="nil"/>
          <w:tl2br w:val="nil"/>
          <w:tr2bl w:val="nil"/>
        </w:tcBorders>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l2br w:val="nil"/>
          <w:tr2bl w:val="nil"/>
        </w:tcBorders>
        <w:shd w:val="clear" w:color="auto" w:fill="EFD3D2"/>
      </w:tcPr>
    </w:tblStylePr>
    <w:tblStylePr w:type="band1Horz">
      <w:tblPr>
        <w:tblLayout w:type="fixed"/>
      </w:tblPr>
      <w:tcPr>
        <w:tcBorders>
          <w:top w:val="nil"/>
          <w:left w:val="nil"/>
          <w:bottom w:val="nil"/>
          <w:right w:val="nil"/>
          <w:insideH w:val="nil"/>
          <w:insideV w:val="nil"/>
          <w:tl2br w:val="nil"/>
          <w:tr2bl w:val="nil"/>
        </w:tcBorders>
        <w:shd w:val="clear" w:color="auto" w:fill="EFD3D2"/>
      </w:tcPr>
    </w:tblStylePr>
  </w:style>
  <w:style w:type="character" w:customStyle="1" w:styleId="20">
    <w:name w:val="页码1"/>
    <w:basedOn w:val="14"/>
    <w:qFormat/>
    <w:uiPriority w:val="0"/>
  </w:style>
  <w:style w:type="character" w:customStyle="1" w:styleId="21">
    <w:name w:val="访问过的超链接"/>
    <w:qFormat/>
    <w:uiPriority w:val="0"/>
    <w:rPr>
      <w:color w:val="800080"/>
      <w:u w:val="single"/>
    </w:rPr>
  </w:style>
  <w:style w:type="paragraph" w:styleId="22">
    <w:name w:val="List Paragraph"/>
    <w:qFormat/>
    <w:uiPriority w:val="0"/>
    <w:pPr>
      <w:ind w:firstLine="420" w:firstLineChars="200"/>
    </w:pPr>
    <w:rPr>
      <w:rFonts w:ascii="Times New Roman" w:hAnsi="Times New Roman" w:eastAsia="宋体" w:cs="Times New Roman"/>
      <w:lang w:val="en-US" w:eastAsia="zh-CN" w:bidi="ar-SA"/>
    </w:rPr>
  </w:style>
  <w:style w:type="paragraph" w:customStyle="1" w:styleId="23">
    <w:name w:val="p15"/>
    <w:basedOn w:val="1"/>
    <w:qFormat/>
    <w:uiPriority w:val="0"/>
    <w:pPr>
      <w:widowControl/>
    </w:pPr>
    <w:rPr>
      <w:kern w:val="0"/>
      <w:szCs w:val="21"/>
    </w:rPr>
  </w:style>
  <w:style w:type="paragraph" w:customStyle="1" w:styleId="24">
    <w:name w:val="Header"/>
    <w:qFormat/>
    <w:uiPriority w:val="0"/>
    <w:pPr>
      <w:tabs>
        <w:tab w:val="right" w:pos="9792"/>
      </w:tabs>
      <w:ind w:firstLine="180"/>
      <w:outlineLvl w:val="0"/>
    </w:pPr>
    <w:rPr>
      <w:rFonts w:ascii="Gill Sans" w:hAnsi="Gill Sans" w:eastAsia="ヒラギノ角ゴ Pro W3" w:cs="Times New Roman"/>
      <w:caps/>
      <w:color w:val="FFFFFF"/>
      <w:sz w:val="18"/>
      <w:lang w:val="en-US" w:eastAsia="zh-CN" w:bidi="ar-SA"/>
    </w:rPr>
  </w:style>
  <w:style w:type="paragraph" w:customStyle="1" w:styleId="25">
    <w:name w:val="列出段落1"/>
    <w:basedOn w:val="1"/>
    <w:qFormat/>
    <w:uiPriority w:val="0"/>
    <w:pPr>
      <w:ind w:firstLine="420" w:firstLineChars="200"/>
    </w:pPr>
    <w:rPr>
      <w:rFonts w:ascii="Calibri" w:hAnsi="Calibri"/>
      <w:szCs w:val="22"/>
    </w:rPr>
  </w:style>
  <w:style w:type="paragraph" w:customStyle="1" w:styleId="2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7">
    <w:name w:val="p17"/>
    <w:basedOn w:val="1"/>
    <w:qFormat/>
    <w:uiPriority w:val="0"/>
    <w:pPr>
      <w:widowControl/>
    </w:pPr>
    <w:rPr>
      <w:kern w:val="0"/>
      <w:szCs w:val="21"/>
    </w:rPr>
  </w:style>
  <w:style w:type="character" w:customStyle="1" w:styleId="28">
    <w:name w:val="批注框文本 Char"/>
    <w:basedOn w:val="14"/>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369</Words>
  <Characters>2106</Characters>
  <Lines>17</Lines>
  <Paragraphs>4</Paragraphs>
  <TotalTime>6</TotalTime>
  <ScaleCrop>false</ScaleCrop>
  <LinksUpToDate>false</LinksUpToDate>
  <CharactersWithSpaces>2471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2018-07-11T07:29:00Z</dcterms:created>
  <dc:creator>gzqh</dc:creator>
  <cp:lastModifiedBy>gzqh</cp:lastModifiedBy>
  <cp:lastPrinted>2017-09-18T09:17:00Z</cp:lastPrinted>
  <dcterms:modified xsi:type="dcterms:W3CDTF">2018-09-19T00:41:36Z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